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C471E" w14:textId="4F3B7725" w:rsidR="00E7125F" w:rsidRPr="00A069D0" w:rsidRDefault="00B80AC6" w:rsidP="00A069D0">
      <w:pPr>
        <w:pStyle w:val="Heading1"/>
        <w:tabs>
          <w:tab w:val="right" w:pos="9072"/>
        </w:tabs>
        <w:spacing w:after="120" w:line="240" w:lineRule="auto"/>
        <w:rPr>
          <w:rFonts w:asciiTheme="minorHAnsi" w:hAnsiTheme="minorHAnsi"/>
          <w:b/>
          <w:bCs/>
          <w:sz w:val="36"/>
          <w:szCs w:val="36"/>
          <w:lang w:val="en-GB"/>
        </w:rPr>
      </w:pPr>
      <w:bookmarkStart w:id="0" w:name="_GoBack"/>
      <w:bookmarkEnd w:id="0"/>
      <w:r w:rsidRPr="00E7125F">
        <w:rPr>
          <w:rFonts w:asciiTheme="minorHAnsi" w:hAnsiTheme="minorHAnsi"/>
          <w:b/>
          <w:bCs/>
          <w:sz w:val="36"/>
          <w:szCs w:val="36"/>
          <w:lang w:val="en-GB"/>
        </w:rPr>
        <w:t xml:space="preserve">Declaration of the </w:t>
      </w:r>
      <w:r w:rsidR="009734E2" w:rsidRPr="00E7125F">
        <w:rPr>
          <w:rFonts w:asciiTheme="minorHAnsi" w:hAnsiTheme="minorHAnsi"/>
          <w:b/>
          <w:bCs/>
          <w:sz w:val="36"/>
          <w:szCs w:val="36"/>
          <w:lang w:val="en-GB"/>
        </w:rPr>
        <w:t>E</w:t>
      </w:r>
      <w:r w:rsidR="00EA7A9F" w:rsidRPr="00E7125F">
        <w:rPr>
          <w:rFonts w:asciiTheme="minorHAnsi" w:hAnsiTheme="minorHAnsi"/>
          <w:b/>
          <w:bCs/>
          <w:sz w:val="36"/>
          <w:szCs w:val="36"/>
          <w:lang w:val="en-GB"/>
        </w:rPr>
        <w:t>uropean Raw Materials Alliance</w:t>
      </w:r>
      <w:r w:rsidR="000C4E72">
        <w:rPr>
          <w:rFonts w:asciiTheme="minorHAnsi" w:hAnsiTheme="minorHAnsi"/>
          <w:b/>
          <w:bCs/>
          <w:sz w:val="36"/>
          <w:szCs w:val="36"/>
          <w:lang w:val="en-GB"/>
        </w:rPr>
        <w:t xml:space="preserve"> (ERMA)</w:t>
      </w:r>
      <w:r w:rsidR="00010A8D" w:rsidRPr="00E7125F">
        <w:rPr>
          <w:rFonts w:asciiTheme="minorHAnsi" w:hAnsiTheme="minorHAnsi"/>
          <w:b/>
          <w:bCs/>
          <w:sz w:val="36"/>
          <w:szCs w:val="36"/>
          <w:lang w:val="en-GB"/>
        </w:rPr>
        <w:tab/>
      </w:r>
    </w:p>
    <w:p w14:paraId="30C0B4D8" w14:textId="750EACD4" w:rsidR="00B80AC6" w:rsidRPr="00FE0611" w:rsidRDefault="00D713E7" w:rsidP="00FE0611">
      <w:pPr>
        <w:pStyle w:val="Heading2"/>
        <w:spacing w:after="120" w:line="240" w:lineRule="auto"/>
        <w:rPr>
          <w:lang w:val="en-GB"/>
        </w:rPr>
      </w:pPr>
      <w:r>
        <w:rPr>
          <w:lang w:val="en-GB"/>
        </w:rPr>
        <w:t>Context</w:t>
      </w:r>
    </w:p>
    <w:p w14:paraId="09521103" w14:textId="7245282B" w:rsidR="00D713E7" w:rsidRDefault="00D713E7" w:rsidP="00FE0611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ajorHAnsi"/>
          <w:lang w:val="en-US"/>
        </w:rPr>
      </w:pPr>
      <w:r w:rsidRPr="00C44F0D">
        <w:rPr>
          <w:rFonts w:asciiTheme="majorHAnsi" w:hAnsiTheme="majorHAnsi" w:cstheme="majorHAnsi"/>
          <w:lang w:val="en-US"/>
        </w:rPr>
        <w:t xml:space="preserve">Access to resources is a strategic </w:t>
      </w:r>
      <w:r>
        <w:rPr>
          <w:rFonts w:asciiTheme="majorHAnsi" w:hAnsiTheme="majorHAnsi" w:cstheme="majorHAnsi"/>
          <w:lang w:val="en-US"/>
        </w:rPr>
        <w:t>security question for Europe’s ambition to deliver the European Green Deal</w:t>
      </w:r>
      <w:r w:rsidRPr="00C44F0D">
        <w:rPr>
          <w:rFonts w:asciiTheme="majorHAnsi" w:hAnsiTheme="majorHAnsi" w:cstheme="majorHAnsi"/>
          <w:lang w:val="en-US"/>
        </w:rPr>
        <w:t xml:space="preserve">. </w:t>
      </w:r>
      <w:r>
        <w:rPr>
          <w:rFonts w:asciiTheme="majorHAnsi" w:hAnsiTheme="majorHAnsi" w:cstheme="majorHAnsi"/>
          <w:lang w:val="en-US"/>
        </w:rPr>
        <w:t>T</w:t>
      </w:r>
      <w:r w:rsidRPr="00C44F0D">
        <w:rPr>
          <w:rFonts w:asciiTheme="majorHAnsi" w:hAnsiTheme="majorHAnsi" w:cstheme="majorHAnsi"/>
          <w:lang w:val="en-US"/>
        </w:rPr>
        <w:t>he new Industrial Strategy for Europe identifies raw materials as key enablers for a globally competitive, green, and digital Europe</w:t>
      </w:r>
      <w:r>
        <w:rPr>
          <w:rFonts w:asciiTheme="majorHAnsi" w:hAnsiTheme="majorHAnsi" w:cstheme="majorHAnsi"/>
          <w:lang w:val="en-US"/>
        </w:rPr>
        <w:t>, while t</w:t>
      </w:r>
      <w:r w:rsidRPr="00C44F0D">
        <w:rPr>
          <w:rFonts w:asciiTheme="majorHAnsi" w:hAnsiTheme="majorHAnsi" w:cstheme="majorHAnsi"/>
          <w:lang w:val="en-US"/>
        </w:rPr>
        <w:t xml:space="preserve">he EU Recovery Plan </w:t>
      </w:r>
      <w:r w:rsidR="00222F93">
        <w:rPr>
          <w:rFonts w:asciiTheme="majorHAnsi" w:hAnsiTheme="majorHAnsi" w:cstheme="majorHAnsi"/>
          <w:lang w:val="en-US"/>
        </w:rPr>
        <w:t>recognizes</w:t>
      </w:r>
      <w:r w:rsidRPr="00C44F0D">
        <w:rPr>
          <w:rFonts w:asciiTheme="majorHAnsi" w:hAnsiTheme="majorHAnsi" w:cstheme="majorHAnsi"/>
          <w:lang w:val="en-US"/>
        </w:rPr>
        <w:t xml:space="preserve"> raw materials as </w:t>
      </w:r>
      <w:r>
        <w:rPr>
          <w:rFonts w:asciiTheme="majorHAnsi" w:hAnsiTheme="majorHAnsi" w:cstheme="majorHAnsi"/>
          <w:lang w:val="en-US"/>
        </w:rPr>
        <w:t xml:space="preserve">one of the areas that must contribute to strengthening crucial markets in a sustainable way. </w:t>
      </w:r>
    </w:p>
    <w:p w14:paraId="43B979C9" w14:textId="73B39B74" w:rsidR="008E0FA6" w:rsidRPr="00C44F0D" w:rsidRDefault="00B80AC6" w:rsidP="00FE0611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ajorHAnsi"/>
          <w:lang w:val="en-US"/>
        </w:rPr>
      </w:pPr>
      <w:r w:rsidRPr="00C44F0D">
        <w:rPr>
          <w:rFonts w:asciiTheme="majorHAnsi" w:hAnsiTheme="majorHAnsi" w:cstheme="majorHAnsi"/>
          <w:lang w:val="en-US"/>
        </w:rPr>
        <w:t>The European Commission</w:t>
      </w:r>
      <w:r w:rsidR="00735639">
        <w:rPr>
          <w:rFonts w:asciiTheme="majorHAnsi" w:hAnsiTheme="majorHAnsi" w:cstheme="majorHAnsi"/>
          <w:lang w:val="en-US"/>
        </w:rPr>
        <w:t>’s Action Plan of 3 September 2020, ‘Critical Raw Materials Resilience: charting a Path towards greater Security and Sustainability’ identifies</w:t>
      </w:r>
      <w:r w:rsidRPr="00C44F0D">
        <w:rPr>
          <w:rFonts w:asciiTheme="majorHAnsi" w:hAnsiTheme="majorHAnsi" w:cstheme="majorHAnsi"/>
          <w:lang w:val="en-US"/>
        </w:rPr>
        <w:t xml:space="preserve"> raw materials as critical to Europe’s future. </w:t>
      </w:r>
      <w:r w:rsidR="00775519" w:rsidRPr="00C44F0D">
        <w:rPr>
          <w:rFonts w:asciiTheme="majorHAnsi" w:hAnsiTheme="majorHAnsi" w:cstheme="majorHAnsi"/>
          <w:lang w:val="en-US"/>
        </w:rPr>
        <w:t>Industrial ecosystems such as construction, automotive, low-carbon energy-intensive industries</w:t>
      </w:r>
      <w:r w:rsidR="00F61C91" w:rsidRPr="00C44F0D">
        <w:rPr>
          <w:rFonts w:asciiTheme="majorHAnsi" w:hAnsiTheme="majorHAnsi" w:cstheme="majorHAnsi"/>
          <w:lang w:val="en-US"/>
        </w:rPr>
        <w:t xml:space="preserve"> and</w:t>
      </w:r>
      <w:r w:rsidR="00775519" w:rsidRPr="00C44F0D">
        <w:rPr>
          <w:rFonts w:asciiTheme="majorHAnsi" w:hAnsiTheme="majorHAnsi" w:cstheme="majorHAnsi"/>
          <w:lang w:val="en-US"/>
        </w:rPr>
        <w:t xml:space="preserve"> </w:t>
      </w:r>
      <w:r w:rsidR="007D7EE3" w:rsidRPr="00C44F0D">
        <w:rPr>
          <w:rFonts w:asciiTheme="majorHAnsi" w:hAnsiTheme="majorHAnsi" w:cstheme="majorHAnsi"/>
          <w:lang w:val="en-US"/>
        </w:rPr>
        <w:t>aerospace are</w:t>
      </w:r>
      <w:r w:rsidR="00F61C91" w:rsidRPr="00C44F0D">
        <w:rPr>
          <w:rFonts w:asciiTheme="majorHAnsi" w:hAnsiTheme="majorHAnsi" w:cstheme="majorHAnsi"/>
          <w:lang w:val="en-US"/>
        </w:rPr>
        <w:t xml:space="preserve"> </w:t>
      </w:r>
      <w:r w:rsidR="00775519" w:rsidRPr="00C44F0D">
        <w:rPr>
          <w:rFonts w:asciiTheme="majorHAnsi" w:hAnsiTheme="majorHAnsi" w:cstheme="majorHAnsi"/>
          <w:lang w:val="en-US"/>
        </w:rPr>
        <w:t>highly dependent on secure access to raw materials</w:t>
      </w:r>
      <w:r w:rsidR="00F61C91" w:rsidRPr="00C44F0D">
        <w:rPr>
          <w:rFonts w:asciiTheme="majorHAnsi" w:hAnsiTheme="majorHAnsi" w:cstheme="majorHAnsi"/>
          <w:lang w:val="en-US"/>
        </w:rPr>
        <w:t xml:space="preserve">. </w:t>
      </w:r>
      <w:r w:rsidR="00432964">
        <w:rPr>
          <w:rFonts w:asciiTheme="majorHAnsi" w:hAnsiTheme="majorHAnsi" w:cstheme="majorHAnsi"/>
          <w:lang w:val="en-US"/>
        </w:rPr>
        <w:t>By 2030, t</w:t>
      </w:r>
      <w:r w:rsidR="007D7EE3" w:rsidRPr="00C44F0D">
        <w:rPr>
          <w:rFonts w:asciiTheme="majorHAnsi" w:hAnsiTheme="majorHAnsi" w:cstheme="majorHAnsi"/>
          <w:lang w:val="en-US"/>
        </w:rPr>
        <w:t>hese industrial</w:t>
      </w:r>
      <w:r w:rsidR="00F61C91" w:rsidRPr="00C44F0D">
        <w:rPr>
          <w:rFonts w:asciiTheme="majorHAnsi" w:hAnsiTheme="majorHAnsi" w:cstheme="majorHAnsi"/>
          <w:lang w:val="en-US"/>
        </w:rPr>
        <w:t xml:space="preserve"> ecosystems </w:t>
      </w:r>
      <w:r w:rsidR="00432964">
        <w:rPr>
          <w:rFonts w:asciiTheme="majorHAnsi" w:hAnsiTheme="majorHAnsi" w:cstheme="majorHAnsi"/>
          <w:lang w:val="en-US"/>
        </w:rPr>
        <w:t xml:space="preserve">will </w:t>
      </w:r>
      <w:r w:rsidR="00775519" w:rsidRPr="00C44F0D">
        <w:rPr>
          <w:rFonts w:asciiTheme="majorHAnsi" w:hAnsiTheme="majorHAnsi" w:cstheme="majorHAnsi"/>
          <w:lang w:val="en-US"/>
        </w:rPr>
        <w:t xml:space="preserve">have a combined added value of EUR 2,000 billion and provide employment for </w:t>
      </w:r>
      <w:r w:rsidR="005638F3" w:rsidRPr="00C44F0D">
        <w:rPr>
          <w:rFonts w:asciiTheme="majorHAnsi" w:hAnsiTheme="majorHAnsi" w:cstheme="majorHAnsi"/>
          <w:lang w:val="en-US"/>
        </w:rPr>
        <w:t>more than</w:t>
      </w:r>
      <w:r w:rsidR="00775519" w:rsidRPr="00C44F0D">
        <w:rPr>
          <w:rFonts w:asciiTheme="majorHAnsi" w:hAnsiTheme="majorHAnsi" w:cstheme="majorHAnsi"/>
          <w:lang w:val="en-US"/>
        </w:rPr>
        <w:t xml:space="preserve"> 30 million </w:t>
      </w:r>
      <w:r w:rsidR="00F61C91" w:rsidRPr="00C44F0D">
        <w:rPr>
          <w:rFonts w:asciiTheme="majorHAnsi" w:hAnsiTheme="majorHAnsi" w:cstheme="majorHAnsi"/>
          <w:lang w:val="en-US"/>
        </w:rPr>
        <w:t>Europeans</w:t>
      </w:r>
      <w:r w:rsidR="00775519" w:rsidRPr="00C44F0D">
        <w:rPr>
          <w:rFonts w:asciiTheme="majorHAnsi" w:hAnsiTheme="majorHAnsi" w:cstheme="majorHAnsi"/>
          <w:lang w:val="en-US"/>
        </w:rPr>
        <w:t xml:space="preserve">. </w:t>
      </w:r>
    </w:p>
    <w:p w14:paraId="4A761484" w14:textId="05EC7583" w:rsidR="00EF45A8" w:rsidRPr="00A069D0" w:rsidRDefault="00D713E7" w:rsidP="00A069D0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Action 1 </w:t>
      </w:r>
      <w:r w:rsidR="005C7A8B">
        <w:rPr>
          <w:rFonts w:asciiTheme="majorHAnsi" w:hAnsiTheme="majorHAnsi" w:cstheme="majorHAnsi"/>
          <w:lang w:val="en-US"/>
        </w:rPr>
        <w:t xml:space="preserve">is to create </w:t>
      </w:r>
      <w:r>
        <w:rPr>
          <w:rFonts w:asciiTheme="majorHAnsi" w:hAnsiTheme="majorHAnsi" w:cstheme="majorHAnsi"/>
          <w:lang w:val="en-US"/>
        </w:rPr>
        <w:t>a dedicated alliance on raw materials</w:t>
      </w:r>
      <w:r w:rsidR="005C7A8B">
        <w:rPr>
          <w:rFonts w:asciiTheme="majorHAnsi" w:hAnsiTheme="majorHAnsi" w:cstheme="majorHAnsi"/>
          <w:lang w:val="en-US"/>
        </w:rPr>
        <w:t xml:space="preserve">, initially to build </w:t>
      </w:r>
      <w:r w:rsidR="00BE2B1B">
        <w:rPr>
          <w:rFonts w:asciiTheme="majorHAnsi" w:hAnsiTheme="majorHAnsi" w:cstheme="majorHAnsi"/>
          <w:lang w:val="en-US"/>
        </w:rPr>
        <w:t xml:space="preserve">long-term </w:t>
      </w:r>
      <w:r w:rsidR="005C7A8B">
        <w:rPr>
          <w:rFonts w:asciiTheme="majorHAnsi" w:hAnsiTheme="majorHAnsi" w:cstheme="majorHAnsi"/>
          <w:lang w:val="en-US"/>
        </w:rPr>
        <w:t>resilience and strategic autonomy for the rare earths and magnets value chain, before extending to other raw material areas</w:t>
      </w:r>
      <w:r w:rsidR="00936EFE">
        <w:rPr>
          <w:rFonts w:asciiTheme="majorHAnsi" w:hAnsiTheme="majorHAnsi" w:cstheme="majorHAnsi"/>
          <w:lang w:val="en-US"/>
        </w:rPr>
        <w:t>.</w:t>
      </w:r>
    </w:p>
    <w:p w14:paraId="7F202AFA" w14:textId="79D06315" w:rsidR="00D713E7" w:rsidRPr="00FE0611" w:rsidRDefault="00D713E7" w:rsidP="00FE0611">
      <w:pPr>
        <w:pStyle w:val="Heading2"/>
        <w:spacing w:after="120" w:line="240" w:lineRule="auto"/>
        <w:rPr>
          <w:lang w:val="en-GB"/>
        </w:rPr>
      </w:pPr>
      <w:r w:rsidRPr="00C44F0D">
        <w:rPr>
          <w:lang w:val="en-GB"/>
        </w:rPr>
        <w:t>Objectives</w:t>
      </w:r>
    </w:p>
    <w:p w14:paraId="5E27DA2C" w14:textId="033EB7E8" w:rsidR="005C7A8B" w:rsidRDefault="008E0FA6" w:rsidP="00FE0611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ajorHAnsi"/>
          <w:lang w:val="en-US"/>
        </w:rPr>
      </w:pPr>
      <w:r w:rsidRPr="00C44F0D">
        <w:rPr>
          <w:rFonts w:asciiTheme="majorHAnsi" w:hAnsiTheme="majorHAnsi" w:cstheme="majorHAnsi"/>
          <w:lang w:val="en-US"/>
        </w:rPr>
        <w:t xml:space="preserve">The European Raw Materials Alliance (ERMA) </w:t>
      </w:r>
      <w:r w:rsidR="005C7A8B">
        <w:rPr>
          <w:rFonts w:asciiTheme="majorHAnsi" w:hAnsiTheme="majorHAnsi" w:cstheme="majorHAnsi"/>
          <w:lang w:val="en-US"/>
        </w:rPr>
        <w:t xml:space="preserve">aims to make Europe economically more resilient by diversifying its supply chains, creating jobs, attracting investments to the raw materials value chain, </w:t>
      </w:r>
      <w:r w:rsidR="00BE2B1B">
        <w:rPr>
          <w:rFonts w:asciiTheme="majorHAnsi" w:hAnsiTheme="majorHAnsi" w:cstheme="majorHAnsi"/>
          <w:lang w:val="en-US"/>
        </w:rPr>
        <w:t xml:space="preserve">fostering innovation, </w:t>
      </w:r>
      <w:r w:rsidR="005C7A8B">
        <w:rPr>
          <w:rFonts w:asciiTheme="majorHAnsi" w:hAnsiTheme="majorHAnsi" w:cstheme="majorHAnsi"/>
          <w:lang w:val="en-US"/>
        </w:rPr>
        <w:t>training young talents and contributing to the best enabling framework for raw materials and the Circular Economy worldwide.</w:t>
      </w:r>
    </w:p>
    <w:p w14:paraId="538C43D5" w14:textId="740AEABC" w:rsidR="009507DA" w:rsidRPr="00C44F0D" w:rsidRDefault="005C7A8B" w:rsidP="00FE0611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The Alliance </w:t>
      </w:r>
      <w:r w:rsidR="008E0FA6" w:rsidRPr="00C44F0D">
        <w:rPr>
          <w:rFonts w:asciiTheme="majorHAnsi" w:hAnsiTheme="majorHAnsi" w:cstheme="majorHAnsi"/>
          <w:lang w:val="en-US"/>
        </w:rPr>
        <w:t>a</w:t>
      </w:r>
      <w:r>
        <w:rPr>
          <w:rFonts w:asciiTheme="majorHAnsi" w:hAnsiTheme="majorHAnsi" w:cstheme="majorHAnsi"/>
          <w:lang w:val="en-US"/>
        </w:rPr>
        <w:t>ddresses</w:t>
      </w:r>
      <w:r w:rsidR="008E0FA6" w:rsidRPr="00C44F0D">
        <w:rPr>
          <w:rFonts w:asciiTheme="majorHAnsi" w:hAnsiTheme="majorHAnsi" w:cstheme="majorHAnsi"/>
          <w:lang w:val="en-US"/>
        </w:rPr>
        <w:t xml:space="preserve"> the challenge of securing access to sustainable raw materials, advanced materials, and industrial processing know-how. </w:t>
      </w:r>
      <w:r w:rsidR="005638F3" w:rsidRPr="00C44F0D">
        <w:rPr>
          <w:rFonts w:asciiTheme="majorHAnsi" w:hAnsiTheme="majorHAnsi" w:cstheme="majorHAnsi"/>
          <w:lang w:val="en-US"/>
        </w:rPr>
        <w:t xml:space="preserve">By 2030, ERMA’s activities </w:t>
      </w:r>
      <w:r w:rsidR="007D7EE3" w:rsidRPr="00C44F0D">
        <w:rPr>
          <w:rFonts w:asciiTheme="majorHAnsi" w:hAnsiTheme="majorHAnsi" w:cstheme="majorHAnsi"/>
          <w:lang w:val="en-US"/>
        </w:rPr>
        <w:t>will increase</w:t>
      </w:r>
      <w:r w:rsidR="005638F3" w:rsidRPr="00C44F0D">
        <w:rPr>
          <w:rFonts w:asciiTheme="majorHAnsi" w:hAnsiTheme="majorHAnsi" w:cstheme="majorHAnsi"/>
          <w:lang w:val="en-US"/>
        </w:rPr>
        <w:t xml:space="preserve"> the production of raw and advanced materials</w:t>
      </w:r>
      <w:r w:rsidR="00377D6F" w:rsidRPr="00C44F0D">
        <w:rPr>
          <w:rFonts w:asciiTheme="majorHAnsi" w:hAnsiTheme="majorHAnsi" w:cstheme="majorHAnsi"/>
          <w:lang w:val="en-US"/>
        </w:rPr>
        <w:t xml:space="preserve"> and</w:t>
      </w:r>
      <w:r w:rsidR="00C44F0D">
        <w:rPr>
          <w:rFonts w:asciiTheme="majorHAnsi" w:hAnsiTheme="majorHAnsi" w:cstheme="majorHAnsi"/>
          <w:lang w:val="en-US"/>
        </w:rPr>
        <w:t xml:space="preserve"> </w:t>
      </w:r>
      <w:r w:rsidR="00867E49" w:rsidRPr="00C44F0D">
        <w:rPr>
          <w:rFonts w:asciiTheme="majorHAnsi" w:hAnsiTheme="majorHAnsi" w:cstheme="majorHAnsi"/>
          <w:lang w:val="en-US"/>
        </w:rPr>
        <w:t>address</w:t>
      </w:r>
      <w:r w:rsidR="003C12E4" w:rsidRPr="00C44F0D">
        <w:rPr>
          <w:rFonts w:asciiTheme="majorHAnsi" w:hAnsiTheme="majorHAnsi" w:cstheme="majorHAnsi"/>
          <w:lang w:val="en-US"/>
        </w:rPr>
        <w:t xml:space="preserve"> Circular Economy by </w:t>
      </w:r>
      <w:r w:rsidR="008A0784" w:rsidRPr="00C44F0D">
        <w:rPr>
          <w:rFonts w:asciiTheme="majorHAnsi" w:hAnsiTheme="majorHAnsi" w:cstheme="majorHAnsi"/>
          <w:lang w:val="en-US"/>
        </w:rPr>
        <w:t>boosting</w:t>
      </w:r>
      <w:r w:rsidR="003C12E4" w:rsidRPr="00C44F0D">
        <w:rPr>
          <w:rFonts w:asciiTheme="majorHAnsi" w:hAnsiTheme="majorHAnsi" w:cstheme="majorHAnsi"/>
          <w:lang w:val="en-US"/>
        </w:rPr>
        <w:t xml:space="preserve"> </w:t>
      </w:r>
      <w:r w:rsidR="005638F3" w:rsidRPr="00C44F0D">
        <w:rPr>
          <w:rFonts w:asciiTheme="majorHAnsi" w:hAnsiTheme="majorHAnsi" w:cstheme="majorHAnsi"/>
          <w:lang w:val="en-US"/>
        </w:rPr>
        <w:t>the recovery and recycling of Critical Raw Materials</w:t>
      </w:r>
      <w:r w:rsidR="00B30808" w:rsidRPr="00C44F0D">
        <w:rPr>
          <w:rFonts w:asciiTheme="majorHAnsi" w:hAnsiTheme="majorHAnsi" w:cstheme="majorHAnsi"/>
          <w:lang w:val="en-US"/>
        </w:rPr>
        <w:t xml:space="preserve">. </w:t>
      </w:r>
      <w:r w:rsidR="00BE2B1B">
        <w:rPr>
          <w:rFonts w:asciiTheme="majorHAnsi" w:hAnsiTheme="majorHAnsi" w:cstheme="majorHAnsi"/>
          <w:lang w:val="en-US"/>
        </w:rPr>
        <w:t>More specifically, t</w:t>
      </w:r>
      <w:r w:rsidR="00E07F87" w:rsidRPr="00C44F0D">
        <w:rPr>
          <w:rFonts w:asciiTheme="majorHAnsi" w:hAnsiTheme="majorHAnsi" w:cstheme="majorHAnsi"/>
          <w:lang w:val="en-US"/>
        </w:rPr>
        <w:t>he Alliance will</w:t>
      </w:r>
      <w:r w:rsidR="008E0FA6" w:rsidRPr="00C44F0D">
        <w:rPr>
          <w:rFonts w:asciiTheme="majorHAnsi" w:hAnsiTheme="majorHAnsi" w:cstheme="majorHAnsi"/>
          <w:lang w:val="en-US"/>
        </w:rPr>
        <w:t>:</w:t>
      </w:r>
    </w:p>
    <w:p w14:paraId="47131F97" w14:textId="7C452F4E" w:rsidR="008E0FA6" w:rsidRPr="00C44F0D" w:rsidRDefault="008E0FA6" w:rsidP="00FE061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567" w:hanging="280"/>
        <w:jc w:val="both"/>
        <w:rPr>
          <w:rFonts w:asciiTheme="majorHAnsi" w:hAnsiTheme="majorHAnsi" w:cstheme="majorHAnsi"/>
          <w:lang w:val="en-US"/>
        </w:rPr>
      </w:pPr>
      <w:r w:rsidRPr="00C44F0D">
        <w:rPr>
          <w:rFonts w:asciiTheme="majorHAnsi" w:hAnsiTheme="majorHAnsi" w:cstheme="majorHAnsi"/>
          <w:lang w:val="en-US"/>
        </w:rPr>
        <w:t>Bolster the creation of environmentally sustainable and socially equitable innovations and infrastructure</w:t>
      </w:r>
    </w:p>
    <w:p w14:paraId="43AFBC32" w14:textId="5432D765" w:rsidR="008E0FA6" w:rsidRPr="00C44F0D" w:rsidRDefault="002257D9" w:rsidP="00FE061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567" w:hanging="280"/>
        <w:jc w:val="both"/>
        <w:rPr>
          <w:rFonts w:asciiTheme="majorHAnsi" w:hAnsiTheme="majorHAnsi" w:cstheme="majorHAnsi"/>
          <w:lang w:val="en-US"/>
        </w:rPr>
      </w:pPr>
      <w:r w:rsidRPr="00C44F0D">
        <w:rPr>
          <w:rFonts w:asciiTheme="majorHAnsi" w:hAnsiTheme="majorHAnsi" w:cstheme="majorHAnsi"/>
          <w:lang w:val="en-US"/>
        </w:rPr>
        <w:t>I</w:t>
      </w:r>
      <w:r w:rsidR="008E0FA6" w:rsidRPr="00C44F0D">
        <w:rPr>
          <w:rFonts w:asciiTheme="majorHAnsi" w:hAnsiTheme="majorHAnsi" w:cstheme="majorHAnsi"/>
          <w:lang w:val="en-US"/>
        </w:rPr>
        <w:t>mplement</w:t>
      </w:r>
      <w:r w:rsidR="00EC1B58" w:rsidRPr="00C44F0D">
        <w:rPr>
          <w:rFonts w:asciiTheme="majorHAnsi" w:hAnsiTheme="majorHAnsi" w:cstheme="majorHAnsi"/>
          <w:lang w:val="en-US"/>
        </w:rPr>
        <w:t xml:space="preserve"> </w:t>
      </w:r>
      <w:r w:rsidR="008E0FA6" w:rsidRPr="00C44F0D">
        <w:rPr>
          <w:rFonts w:asciiTheme="majorHAnsi" w:hAnsiTheme="majorHAnsi" w:cstheme="majorHAnsi"/>
          <w:lang w:val="en-US"/>
        </w:rPr>
        <w:t>a Circular Economy of complex products like electric vehicles, clean tech, and hydrogen equipment</w:t>
      </w:r>
    </w:p>
    <w:p w14:paraId="4F1906AA" w14:textId="646B0E11" w:rsidR="00FE0611" w:rsidRPr="00FE0611" w:rsidRDefault="008E0FA6" w:rsidP="00FE061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567" w:hanging="280"/>
        <w:jc w:val="both"/>
        <w:rPr>
          <w:rFonts w:asciiTheme="majorHAnsi" w:hAnsiTheme="majorHAnsi" w:cstheme="majorHAnsi"/>
          <w:lang w:val="en-US"/>
        </w:rPr>
      </w:pPr>
      <w:r w:rsidRPr="00C44F0D">
        <w:rPr>
          <w:rFonts w:asciiTheme="majorHAnsi" w:hAnsiTheme="majorHAnsi" w:cstheme="majorHAnsi"/>
          <w:lang w:val="en-US"/>
        </w:rPr>
        <w:t>Support</w:t>
      </w:r>
      <w:r w:rsidR="00EC1B58" w:rsidRPr="00C44F0D">
        <w:rPr>
          <w:rFonts w:asciiTheme="majorHAnsi" w:hAnsiTheme="majorHAnsi" w:cstheme="majorHAnsi"/>
          <w:lang w:val="en-US"/>
        </w:rPr>
        <w:t xml:space="preserve"> Europe</w:t>
      </w:r>
      <w:r w:rsidR="00C44F0D">
        <w:rPr>
          <w:rFonts w:asciiTheme="majorHAnsi" w:hAnsiTheme="majorHAnsi" w:cstheme="majorHAnsi"/>
          <w:lang w:val="en-US"/>
        </w:rPr>
        <w:t>’</w:t>
      </w:r>
      <w:r w:rsidR="00EC1B58" w:rsidRPr="00C44F0D">
        <w:rPr>
          <w:rFonts w:asciiTheme="majorHAnsi" w:hAnsiTheme="majorHAnsi" w:cstheme="majorHAnsi"/>
          <w:lang w:val="en-US"/>
        </w:rPr>
        <w:t>s</w:t>
      </w:r>
      <w:r w:rsidR="00C44F0D">
        <w:rPr>
          <w:rFonts w:asciiTheme="majorHAnsi" w:hAnsiTheme="majorHAnsi" w:cstheme="majorHAnsi"/>
          <w:lang w:val="en-US"/>
        </w:rPr>
        <w:t xml:space="preserve"> </w:t>
      </w:r>
      <w:r w:rsidRPr="00C44F0D">
        <w:rPr>
          <w:rFonts w:asciiTheme="majorHAnsi" w:hAnsiTheme="majorHAnsi" w:cstheme="majorHAnsi"/>
          <w:lang w:val="en-US"/>
        </w:rPr>
        <w:t>raw materials industry</w:t>
      </w:r>
      <w:r w:rsidR="0057601B" w:rsidRPr="00C44F0D">
        <w:rPr>
          <w:rFonts w:asciiTheme="majorHAnsi" w:hAnsiTheme="majorHAnsi" w:cstheme="majorHAnsi"/>
          <w:lang w:val="en-US"/>
        </w:rPr>
        <w:t xml:space="preserve"> </w:t>
      </w:r>
      <w:r w:rsidR="007D7EE3" w:rsidRPr="00C44F0D">
        <w:rPr>
          <w:rFonts w:asciiTheme="majorHAnsi" w:hAnsiTheme="majorHAnsi" w:cstheme="majorHAnsi"/>
          <w:lang w:val="en-US"/>
        </w:rPr>
        <w:t>capability,</w:t>
      </w:r>
      <w:r w:rsidR="003274FE" w:rsidRPr="00C44F0D">
        <w:rPr>
          <w:rFonts w:asciiTheme="majorHAnsi" w:hAnsiTheme="majorHAnsi" w:cstheme="majorHAnsi"/>
          <w:lang w:val="en-US"/>
        </w:rPr>
        <w:t xml:space="preserve"> </w:t>
      </w:r>
      <w:r w:rsidRPr="00C44F0D">
        <w:rPr>
          <w:rFonts w:asciiTheme="majorHAnsi" w:hAnsiTheme="majorHAnsi" w:cstheme="majorHAnsi"/>
          <w:lang w:val="en-US"/>
        </w:rPr>
        <w:t>to extract, design, manufacture and recycle materials</w:t>
      </w:r>
    </w:p>
    <w:p w14:paraId="648EBC05" w14:textId="727319D1" w:rsidR="007B0C66" w:rsidRPr="00FE0611" w:rsidRDefault="0017594D" w:rsidP="00FE061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567" w:hanging="280"/>
        <w:jc w:val="both"/>
        <w:rPr>
          <w:rFonts w:asciiTheme="majorHAnsi" w:hAnsiTheme="majorHAnsi" w:cstheme="majorHAnsi"/>
          <w:lang w:val="en-US"/>
        </w:rPr>
      </w:pPr>
      <w:r w:rsidRPr="00C44F0D">
        <w:rPr>
          <w:rFonts w:asciiTheme="majorHAnsi" w:hAnsiTheme="majorHAnsi" w:cstheme="majorHAnsi"/>
          <w:lang w:val="en-US"/>
        </w:rPr>
        <w:t>P</w:t>
      </w:r>
      <w:r w:rsidR="008E0FA6" w:rsidRPr="00C44F0D">
        <w:rPr>
          <w:rFonts w:asciiTheme="majorHAnsi" w:hAnsiTheme="majorHAnsi" w:cstheme="majorHAnsi"/>
          <w:lang w:val="en-US"/>
        </w:rPr>
        <w:t>romote innovation, strategic investment, and industrial production across specific value chains</w:t>
      </w:r>
    </w:p>
    <w:p w14:paraId="03F2C3A9" w14:textId="1348E478" w:rsidR="00010A8D" w:rsidRDefault="00010A8D" w:rsidP="00FE0611">
      <w:pPr>
        <w:pStyle w:val="Heading2"/>
        <w:spacing w:after="120" w:line="240" w:lineRule="auto"/>
        <w:rPr>
          <w:lang w:val="en-GB"/>
        </w:rPr>
      </w:pPr>
    </w:p>
    <w:p w14:paraId="6E717A4D" w14:textId="77777777" w:rsidR="00010A8D" w:rsidRPr="00010A8D" w:rsidRDefault="00010A8D" w:rsidP="00010A8D">
      <w:pPr>
        <w:rPr>
          <w:lang w:val="en-GB"/>
        </w:rPr>
      </w:pPr>
    </w:p>
    <w:p w14:paraId="5B3D873F" w14:textId="77777777" w:rsidR="00EF45A8" w:rsidRDefault="00EF45A8" w:rsidP="00FE0611">
      <w:pPr>
        <w:pStyle w:val="Heading2"/>
        <w:spacing w:after="120" w:line="240" w:lineRule="auto"/>
        <w:rPr>
          <w:lang w:val="en-GB"/>
        </w:rPr>
      </w:pPr>
    </w:p>
    <w:p w14:paraId="0F5C10AB" w14:textId="2EFDD768" w:rsidR="009D2365" w:rsidRPr="00FE0611" w:rsidRDefault="009D2365" w:rsidP="00FE0611">
      <w:pPr>
        <w:pStyle w:val="Heading2"/>
        <w:spacing w:after="120" w:line="240" w:lineRule="auto"/>
        <w:rPr>
          <w:lang w:val="en-GB"/>
        </w:rPr>
      </w:pPr>
      <w:r w:rsidRPr="00C44F0D">
        <w:rPr>
          <w:lang w:val="en-GB"/>
        </w:rPr>
        <w:t>Scope</w:t>
      </w:r>
    </w:p>
    <w:p w14:paraId="20AB288C" w14:textId="0856CF54" w:rsidR="009D2365" w:rsidRPr="00C44F0D" w:rsidRDefault="009D2365" w:rsidP="00FE0611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ajorHAnsi"/>
          <w:lang w:val="en-US"/>
        </w:rPr>
      </w:pPr>
      <w:r w:rsidRPr="00C44F0D">
        <w:rPr>
          <w:rFonts w:asciiTheme="majorHAnsi" w:hAnsiTheme="majorHAnsi" w:cstheme="majorHAnsi"/>
          <w:lang w:val="en-US"/>
        </w:rPr>
        <w:t>ERMA</w:t>
      </w:r>
      <w:r w:rsidR="00B04CDB" w:rsidRPr="00C44F0D">
        <w:rPr>
          <w:rFonts w:asciiTheme="majorHAnsi" w:hAnsiTheme="majorHAnsi" w:cstheme="majorHAnsi"/>
          <w:lang w:val="en-US"/>
        </w:rPr>
        <w:t xml:space="preserve"> </w:t>
      </w:r>
      <w:r w:rsidRPr="00C44F0D">
        <w:rPr>
          <w:rFonts w:asciiTheme="majorHAnsi" w:hAnsiTheme="majorHAnsi" w:cstheme="majorHAnsi"/>
          <w:lang w:val="en-US"/>
        </w:rPr>
        <w:t>cover</w:t>
      </w:r>
      <w:r w:rsidR="00B04CDB" w:rsidRPr="00C44F0D">
        <w:rPr>
          <w:rFonts w:asciiTheme="majorHAnsi" w:hAnsiTheme="majorHAnsi" w:cstheme="majorHAnsi"/>
          <w:lang w:val="en-US"/>
        </w:rPr>
        <w:t>s</w:t>
      </w:r>
      <w:r w:rsidRPr="00C44F0D">
        <w:rPr>
          <w:rFonts w:asciiTheme="majorHAnsi" w:hAnsiTheme="majorHAnsi" w:cstheme="majorHAnsi"/>
          <w:lang w:val="en-US"/>
        </w:rPr>
        <w:t xml:space="preserve"> the full range of elements and minerals required by Europe's green and digital transitions, from critical raw materials to base metals and industrial minerals. </w:t>
      </w:r>
    </w:p>
    <w:p w14:paraId="5489AB15" w14:textId="009B9138" w:rsidR="009D2365" w:rsidRPr="00FE0611" w:rsidRDefault="009D2365" w:rsidP="00FE0611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ajorHAnsi"/>
          <w:lang w:val="en-US"/>
        </w:rPr>
      </w:pPr>
      <w:r w:rsidRPr="00C44F0D">
        <w:rPr>
          <w:rFonts w:asciiTheme="majorHAnsi" w:hAnsiTheme="majorHAnsi" w:cstheme="majorHAnsi"/>
          <w:lang w:val="en-US"/>
        </w:rPr>
        <w:t xml:space="preserve">In addition to investing in infrastructure and capacity building within the EU, the Alliance will </w:t>
      </w:r>
      <w:r w:rsidR="007D7EE3" w:rsidRPr="00C44F0D">
        <w:rPr>
          <w:rFonts w:asciiTheme="majorHAnsi" w:hAnsiTheme="majorHAnsi" w:cstheme="majorHAnsi"/>
          <w:lang w:val="en-US"/>
        </w:rPr>
        <w:t>support activities</w:t>
      </w:r>
      <w:r w:rsidRPr="00C44F0D">
        <w:rPr>
          <w:rFonts w:asciiTheme="majorHAnsi" w:hAnsiTheme="majorHAnsi" w:cstheme="majorHAnsi"/>
          <w:lang w:val="en-US"/>
        </w:rPr>
        <w:t xml:space="preserve"> aimed at securing </w:t>
      </w:r>
      <w:r w:rsidR="005C7A8B">
        <w:rPr>
          <w:rFonts w:asciiTheme="majorHAnsi" w:hAnsiTheme="majorHAnsi" w:cstheme="majorHAnsi"/>
          <w:lang w:val="en-US"/>
        </w:rPr>
        <w:t xml:space="preserve">a </w:t>
      </w:r>
      <w:r w:rsidRPr="00C44F0D">
        <w:rPr>
          <w:rFonts w:asciiTheme="majorHAnsi" w:hAnsiTheme="majorHAnsi" w:cstheme="majorHAnsi"/>
          <w:lang w:val="en-US"/>
        </w:rPr>
        <w:t xml:space="preserve">sustainable supply of raw and advanced materials for </w:t>
      </w:r>
      <w:r w:rsidR="005C7A8B">
        <w:rPr>
          <w:rFonts w:asciiTheme="majorHAnsi" w:hAnsiTheme="majorHAnsi" w:cstheme="majorHAnsi"/>
          <w:lang w:val="en-US"/>
        </w:rPr>
        <w:t xml:space="preserve">the </w:t>
      </w:r>
      <w:r w:rsidRPr="00C44F0D">
        <w:rPr>
          <w:rFonts w:asciiTheme="majorHAnsi" w:hAnsiTheme="majorHAnsi" w:cstheme="majorHAnsi"/>
          <w:lang w:val="en-US"/>
        </w:rPr>
        <w:t>EU’s industrial ecosystems</w:t>
      </w:r>
      <w:r w:rsidR="000965D8" w:rsidRPr="00C44F0D">
        <w:rPr>
          <w:rFonts w:asciiTheme="majorHAnsi" w:hAnsiTheme="majorHAnsi" w:cstheme="majorHAnsi"/>
          <w:lang w:val="en-US"/>
        </w:rPr>
        <w:t xml:space="preserve"> </w:t>
      </w:r>
      <w:r w:rsidR="005C7A8B">
        <w:rPr>
          <w:rFonts w:asciiTheme="majorHAnsi" w:hAnsiTheme="majorHAnsi" w:cstheme="majorHAnsi"/>
          <w:lang w:val="en-US"/>
        </w:rPr>
        <w:t xml:space="preserve">that </w:t>
      </w:r>
      <w:r w:rsidR="003735E0" w:rsidRPr="00C44F0D">
        <w:rPr>
          <w:rFonts w:asciiTheme="majorHAnsi" w:hAnsiTheme="majorHAnsi" w:cstheme="majorHAnsi"/>
          <w:lang w:val="en-US"/>
        </w:rPr>
        <w:t>support</w:t>
      </w:r>
      <w:r w:rsidR="000965D8" w:rsidRPr="00C44F0D">
        <w:rPr>
          <w:rFonts w:asciiTheme="majorHAnsi" w:hAnsiTheme="majorHAnsi" w:cstheme="majorHAnsi"/>
          <w:lang w:val="en-US"/>
        </w:rPr>
        <w:t xml:space="preserve"> transition to </w:t>
      </w:r>
      <w:r w:rsidR="005C7A8B">
        <w:rPr>
          <w:rFonts w:asciiTheme="majorHAnsi" w:hAnsiTheme="majorHAnsi" w:cstheme="majorHAnsi"/>
          <w:lang w:val="en-US"/>
        </w:rPr>
        <w:t>a</w:t>
      </w:r>
      <w:r w:rsidR="000965D8" w:rsidRPr="00C44F0D">
        <w:rPr>
          <w:rFonts w:asciiTheme="majorHAnsi" w:hAnsiTheme="majorHAnsi" w:cstheme="majorHAnsi"/>
          <w:lang w:val="en-US"/>
        </w:rPr>
        <w:t xml:space="preserve"> green </w:t>
      </w:r>
      <w:r w:rsidR="00BE2B1B">
        <w:rPr>
          <w:rFonts w:asciiTheme="majorHAnsi" w:hAnsiTheme="majorHAnsi" w:cstheme="majorHAnsi"/>
          <w:lang w:val="en-US"/>
        </w:rPr>
        <w:t xml:space="preserve">and digital </w:t>
      </w:r>
      <w:r w:rsidR="000965D8" w:rsidRPr="00C44F0D">
        <w:rPr>
          <w:rFonts w:asciiTheme="majorHAnsi" w:hAnsiTheme="majorHAnsi" w:cstheme="majorHAnsi"/>
          <w:lang w:val="en-US"/>
        </w:rPr>
        <w:t>economy.</w:t>
      </w:r>
      <w:r w:rsidR="00C44F0D">
        <w:rPr>
          <w:rFonts w:asciiTheme="majorHAnsi" w:hAnsiTheme="majorHAnsi" w:cstheme="majorHAnsi"/>
          <w:lang w:val="en-US"/>
        </w:rPr>
        <w:t xml:space="preserve"> T</w:t>
      </w:r>
      <w:r w:rsidRPr="00C44F0D">
        <w:rPr>
          <w:rFonts w:asciiTheme="majorHAnsi" w:hAnsiTheme="majorHAnsi" w:cstheme="majorHAnsi"/>
          <w:lang w:val="en-US"/>
        </w:rPr>
        <w:t>hese include the implementation of circularity solutions aimed at reducing consumption and waste.</w:t>
      </w:r>
    </w:p>
    <w:p w14:paraId="678EF9BB" w14:textId="4B372898" w:rsidR="007B0C66" w:rsidRPr="00FE0611" w:rsidRDefault="00F51CA9" w:rsidP="00FE0611">
      <w:pPr>
        <w:pStyle w:val="Heading2"/>
        <w:spacing w:after="120" w:line="240" w:lineRule="auto"/>
        <w:rPr>
          <w:lang w:val="en-GB"/>
        </w:rPr>
      </w:pPr>
      <w:r w:rsidRPr="00C44F0D">
        <w:rPr>
          <w:lang w:val="en-GB"/>
        </w:rPr>
        <w:t>Working Methods</w:t>
      </w:r>
    </w:p>
    <w:p w14:paraId="3044E9CF" w14:textId="2141FD42" w:rsidR="00C533AF" w:rsidRPr="00C44F0D" w:rsidRDefault="00C533AF" w:rsidP="00FE0611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ajorHAnsi"/>
          <w:lang w:val="en-US"/>
        </w:rPr>
      </w:pPr>
      <w:r w:rsidRPr="00C44F0D">
        <w:rPr>
          <w:rFonts w:asciiTheme="majorHAnsi" w:hAnsiTheme="majorHAnsi" w:cstheme="majorHAnsi"/>
          <w:lang w:val="en-US"/>
        </w:rPr>
        <w:t>ERMA is an</w:t>
      </w:r>
      <w:r w:rsidR="00461A30" w:rsidRPr="00C44F0D">
        <w:rPr>
          <w:rFonts w:asciiTheme="majorHAnsi" w:hAnsiTheme="majorHAnsi" w:cstheme="majorHAnsi"/>
          <w:lang w:val="en-US"/>
        </w:rPr>
        <w:t xml:space="preserve"> open and inclusive</w:t>
      </w:r>
      <w:r w:rsidRPr="00C44F0D">
        <w:rPr>
          <w:rFonts w:asciiTheme="majorHAnsi" w:hAnsiTheme="majorHAnsi" w:cstheme="majorHAnsi"/>
          <w:lang w:val="en-US"/>
        </w:rPr>
        <w:t xml:space="preserve"> alliance </w:t>
      </w:r>
      <w:r w:rsidR="00222F93">
        <w:rPr>
          <w:rFonts w:asciiTheme="majorHAnsi" w:hAnsiTheme="majorHAnsi" w:cstheme="majorHAnsi"/>
          <w:lang w:val="en-US"/>
        </w:rPr>
        <w:t xml:space="preserve">that </w:t>
      </w:r>
      <w:r w:rsidRPr="00C44F0D">
        <w:rPr>
          <w:rFonts w:asciiTheme="majorHAnsi" w:hAnsiTheme="majorHAnsi" w:cstheme="majorHAnsi"/>
          <w:lang w:val="en-US"/>
        </w:rPr>
        <w:t xml:space="preserve">provides an open and independent forum for discussion and analysis, as well as a mechanism for translating potential projects into actual activities and infrastructures that will contribute to creating </w:t>
      </w:r>
      <w:r w:rsidR="00BE2B1B">
        <w:rPr>
          <w:rFonts w:asciiTheme="majorHAnsi" w:hAnsiTheme="majorHAnsi" w:cstheme="majorHAnsi"/>
          <w:lang w:val="en-US"/>
        </w:rPr>
        <w:t xml:space="preserve">long-lasting </w:t>
      </w:r>
      <w:r w:rsidRPr="00C44F0D">
        <w:rPr>
          <w:rFonts w:asciiTheme="majorHAnsi" w:hAnsiTheme="majorHAnsi" w:cstheme="majorHAnsi"/>
          <w:lang w:val="en-US"/>
        </w:rPr>
        <w:t xml:space="preserve">added value and jobs for Europe.  </w:t>
      </w:r>
    </w:p>
    <w:p w14:paraId="15C5F885" w14:textId="35A6A581" w:rsidR="00C44F0D" w:rsidRPr="00FE0611" w:rsidRDefault="005638F3" w:rsidP="00FE0611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ajorHAnsi"/>
          <w:lang w:val="en-US"/>
        </w:rPr>
      </w:pPr>
      <w:r w:rsidRPr="00C44F0D">
        <w:rPr>
          <w:rFonts w:asciiTheme="majorHAnsi" w:hAnsiTheme="majorHAnsi" w:cstheme="majorHAnsi"/>
          <w:lang w:val="en-GB"/>
        </w:rPr>
        <w:t>E</w:t>
      </w:r>
      <w:r w:rsidR="00F51CA9" w:rsidRPr="00C44F0D">
        <w:rPr>
          <w:rFonts w:asciiTheme="majorHAnsi" w:hAnsiTheme="majorHAnsi" w:cstheme="majorHAnsi"/>
          <w:lang w:val="en-US"/>
        </w:rPr>
        <w:t xml:space="preserve">RMA </w:t>
      </w:r>
      <w:r w:rsidR="008F0FBA" w:rsidRPr="00C44F0D">
        <w:rPr>
          <w:rFonts w:asciiTheme="majorHAnsi" w:hAnsiTheme="majorHAnsi" w:cstheme="majorHAnsi"/>
          <w:lang w:val="en-US"/>
        </w:rPr>
        <w:t>will identify barriers, opportunities and investment cases to build capacit</w:t>
      </w:r>
      <w:r w:rsidR="00E07F87" w:rsidRPr="00C44F0D">
        <w:rPr>
          <w:rFonts w:asciiTheme="majorHAnsi" w:hAnsiTheme="majorHAnsi" w:cstheme="majorHAnsi"/>
          <w:lang w:val="en-US"/>
        </w:rPr>
        <w:t>y</w:t>
      </w:r>
      <w:r w:rsidR="008F0FBA" w:rsidRPr="00C44F0D">
        <w:rPr>
          <w:rFonts w:asciiTheme="majorHAnsi" w:hAnsiTheme="majorHAnsi" w:cstheme="majorHAnsi"/>
          <w:lang w:val="en-US"/>
        </w:rPr>
        <w:t xml:space="preserve"> at all stages of the raw materials value chain, from mining to waste recovery.</w:t>
      </w:r>
      <w:r w:rsidR="0064116B" w:rsidRPr="00C44F0D">
        <w:rPr>
          <w:rFonts w:asciiTheme="majorHAnsi" w:hAnsiTheme="majorHAnsi" w:cstheme="majorHAnsi"/>
          <w:lang w:val="en-US"/>
        </w:rPr>
        <w:t xml:space="preserve"> It </w:t>
      </w:r>
      <w:r w:rsidR="00E07F87" w:rsidRPr="00C44F0D">
        <w:rPr>
          <w:rFonts w:asciiTheme="majorHAnsi" w:hAnsiTheme="majorHAnsi" w:cstheme="majorHAnsi"/>
          <w:lang w:val="en-US"/>
        </w:rPr>
        <w:t>complies with</w:t>
      </w:r>
      <w:r w:rsidR="0064116B" w:rsidRPr="00C44F0D">
        <w:rPr>
          <w:rFonts w:asciiTheme="majorHAnsi" w:hAnsiTheme="majorHAnsi" w:cstheme="majorHAnsi"/>
          <w:lang w:val="en-US"/>
        </w:rPr>
        <w:t xml:space="preserve"> EU competition rules and EU international trade commitments.</w:t>
      </w:r>
    </w:p>
    <w:p w14:paraId="197B8F81" w14:textId="25EFB4B5" w:rsidR="00D77B38" w:rsidRPr="00C44F0D" w:rsidRDefault="00B04CDB" w:rsidP="00FE0611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ajorHAnsi"/>
          <w:lang w:val="en-US"/>
        </w:rPr>
      </w:pPr>
      <w:r w:rsidRPr="00C44F0D">
        <w:rPr>
          <w:rFonts w:asciiTheme="majorHAnsi" w:hAnsiTheme="majorHAnsi" w:cstheme="majorHAnsi"/>
          <w:lang w:val="en-US"/>
        </w:rPr>
        <w:t>ERMA</w:t>
      </w:r>
      <w:r w:rsidR="00C44F0D">
        <w:rPr>
          <w:rFonts w:asciiTheme="majorHAnsi" w:hAnsiTheme="majorHAnsi" w:cstheme="majorHAnsi"/>
          <w:lang w:val="en-US"/>
        </w:rPr>
        <w:t>’s</w:t>
      </w:r>
      <w:r w:rsidRPr="00C44F0D">
        <w:rPr>
          <w:rFonts w:asciiTheme="majorHAnsi" w:hAnsiTheme="majorHAnsi" w:cstheme="majorHAnsi"/>
          <w:lang w:val="en-US"/>
        </w:rPr>
        <w:t xml:space="preserve"> activities will be carried out across ‘clusters’ defined around specific value chains. The first cluster deals with the most critical value chain for many EU industrial ecosystems </w:t>
      </w:r>
      <w:r w:rsidR="00C44F0D">
        <w:rPr>
          <w:rFonts w:asciiTheme="majorHAnsi" w:hAnsiTheme="majorHAnsi" w:cstheme="majorHAnsi"/>
          <w:lang w:val="en-US"/>
        </w:rPr>
        <w:t>–</w:t>
      </w:r>
      <w:r w:rsidRPr="00C44F0D">
        <w:rPr>
          <w:rFonts w:asciiTheme="majorHAnsi" w:hAnsiTheme="majorHAnsi" w:cstheme="majorHAnsi"/>
          <w:lang w:val="en-US"/>
        </w:rPr>
        <w:t xml:space="preserve"> </w:t>
      </w:r>
      <w:r w:rsidR="00C44F0D">
        <w:rPr>
          <w:rFonts w:asciiTheme="majorHAnsi" w:hAnsiTheme="majorHAnsi" w:cstheme="majorHAnsi"/>
          <w:lang w:val="en-US"/>
        </w:rPr>
        <w:t>rare earth element (</w:t>
      </w:r>
      <w:r w:rsidRPr="00C44F0D">
        <w:rPr>
          <w:rFonts w:asciiTheme="majorHAnsi" w:hAnsiTheme="majorHAnsi" w:cstheme="majorHAnsi"/>
          <w:lang w:val="en-US"/>
        </w:rPr>
        <w:t>REE</w:t>
      </w:r>
      <w:r w:rsidR="00C44F0D">
        <w:rPr>
          <w:rFonts w:asciiTheme="majorHAnsi" w:hAnsiTheme="majorHAnsi" w:cstheme="majorHAnsi"/>
          <w:lang w:val="en-US"/>
        </w:rPr>
        <w:t>)</w:t>
      </w:r>
      <w:r w:rsidRPr="00C44F0D">
        <w:rPr>
          <w:rFonts w:asciiTheme="majorHAnsi" w:hAnsiTheme="majorHAnsi" w:cstheme="majorHAnsi"/>
          <w:lang w:val="en-US"/>
        </w:rPr>
        <w:t xml:space="preserve"> magnets and motors. The second cluster will consider raw and advanced materials for energy storage and conversion in stationary and non-stationary applications. Additional clusters will be defined </w:t>
      </w:r>
      <w:r w:rsidR="00BE2B1B">
        <w:rPr>
          <w:rFonts w:asciiTheme="majorHAnsi" w:hAnsiTheme="majorHAnsi" w:cstheme="majorHAnsi"/>
          <w:lang w:val="en-US"/>
        </w:rPr>
        <w:t>later</w:t>
      </w:r>
      <w:r w:rsidRPr="00C44F0D">
        <w:rPr>
          <w:rFonts w:asciiTheme="majorHAnsi" w:hAnsiTheme="majorHAnsi" w:cstheme="majorHAnsi"/>
          <w:lang w:val="en-US"/>
        </w:rPr>
        <w:t xml:space="preserve">. </w:t>
      </w:r>
    </w:p>
    <w:p w14:paraId="220C9AAE" w14:textId="044E0E0B" w:rsidR="00F51CA9" w:rsidRPr="00C44F0D" w:rsidRDefault="00B04CDB" w:rsidP="00FE0611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ajorHAnsi"/>
          <w:lang w:val="en-US"/>
        </w:rPr>
      </w:pPr>
      <w:r w:rsidRPr="00C44F0D">
        <w:rPr>
          <w:rFonts w:asciiTheme="majorHAnsi" w:hAnsiTheme="majorHAnsi" w:cstheme="majorHAnsi"/>
          <w:lang w:val="en-US"/>
        </w:rPr>
        <w:t xml:space="preserve">The underlying conditions for all the clusters are sustainability (social, economic and environmental, in line with UN Sustainability Development Goals), digitalization (in line with EU’s </w:t>
      </w:r>
      <w:r w:rsidR="00BE6CB5" w:rsidRPr="00C44F0D">
        <w:rPr>
          <w:rFonts w:asciiTheme="majorHAnsi" w:hAnsiTheme="majorHAnsi" w:cstheme="majorHAnsi"/>
          <w:lang w:val="en-US"/>
        </w:rPr>
        <w:t>D</w:t>
      </w:r>
      <w:r w:rsidRPr="00C44F0D">
        <w:rPr>
          <w:rFonts w:asciiTheme="majorHAnsi" w:hAnsiTheme="majorHAnsi" w:cstheme="majorHAnsi"/>
          <w:lang w:val="en-US"/>
        </w:rPr>
        <w:t xml:space="preserve">igital </w:t>
      </w:r>
      <w:r w:rsidR="00BE6CB5" w:rsidRPr="00C44F0D">
        <w:rPr>
          <w:rFonts w:asciiTheme="majorHAnsi" w:hAnsiTheme="majorHAnsi" w:cstheme="majorHAnsi"/>
          <w:lang w:val="en-US"/>
        </w:rPr>
        <w:t>S</w:t>
      </w:r>
      <w:r w:rsidRPr="00C44F0D">
        <w:rPr>
          <w:rFonts w:asciiTheme="majorHAnsi" w:hAnsiTheme="majorHAnsi" w:cstheme="majorHAnsi"/>
          <w:lang w:val="en-US"/>
        </w:rPr>
        <w:t>trategy)</w:t>
      </w:r>
      <w:r w:rsidR="00BE6CB5" w:rsidRPr="00C44F0D">
        <w:rPr>
          <w:rFonts w:asciiTheme="majorHAnsi" w:hAnsiTheme="majorHAnsi" w:cstheme="majorHAnsi"/>
          <w:lang w:val="en-US"/>
        </w:rPr>
        <w:t xml:space="preserve"> and</w:t>
      </w:r>
      <w:r w:rsidRPr="00C44F0D">
        <w:rPr>
          <w:rFonts w:asciiTheme="majorHAnsi" w:hAnsiTheme="majorHAnsi" w:cstheme="majorHAnsi"/>
          <w:lang w:val="en-US"/>
        </w:rPr>
        <w:t xml:space="preserve"> circularity </w:t>
      </w:r>
      <w:r w:rsidR="00BE6CB5" w:rsidRPr="00C44F0D">
        <w:rPr>
          <w:rFonts w:asciiTheme="majorHAnsi" w:hAnsiTheme="majorHAnsi" w:cstheme="majorHAnsi"/>
          <w:lang w:val="en-US"/>
        </w:rPr>
        <w:t>(following the EU Circular Economy Action Plan)</w:t>
      </w:r>
      <w:r w:rsidRPr="00C44F0D">
        <w:rPr>
          <w:rFonts w:asciiTheme="majorHAnsi" w:hAnsiTheme="majorHAnsi" w:cstheme="majorHAnsi"/>
          <w:lang w:val="en-US"/>
        </w:rPr>
        <w:t>.</w:t>
      </w:r>
      <w:r w:rsidR="00BE6CB5" w:rsidRPr="00C44F0D">
        <w:rPr>
          <w:rFonts w:asciiTheme="majorHAnsi" w:hAnsiTheme="majorHAnsi" w:cstheme="majorHAnsi"/>
          <w:lang w:val="en-US"/>
        </w:rPr>
        <w:t xml:space="preserve"> </w:t>
      </w:r>
      <w:r w:rsidRPr="00C44F0D">
        <w:rPr>
          <w:rFonts w:asciiTheme="majorHAnsi" w:hAnsiTheme="majorHAnsi" w:cstheme="majorHAnsi"/>
          <w:lang w:val="en-US"/>
        </w:rPr>
        <w:t xml:space="preserve">The clusters’ work will contribute to capacity building and </w:t>
      </w:r>
      <w:r w:rsidR="00BE6CB5" w:rsidRPr="00C44F0D">
        <w:rPr>
          <w:rFonts w:asciiTheme="majorHAnsi" w:hAnsiTheme="majorHAnsi" w:cstheme="majorHAnsi"/>
          <w:lang w:val="en-US"/>
        </w:rPr>
        <w:t xml:space="preserve">to </w:t>
      </w:r>
      <w:r w:rsidRPr="00C44F0D">
        <w:rPr>
          <w:rFonts w:asciiTheme="majorHAnsi" w:hAnsiTheme="majorHAnsi" w:cstheme="majorHAnsi"/>
          <w:lang w:val="en-US"/>
        </w:rPr>
        <w:t xml:space="preserve">the goals of the EU Just Transition fund through education, </w:t>
      </w:r>
      <w:r w:rsidR="00BE2B1B">
        <w:rPr>
          <w:rFonts w:asciiTheme="majorHAnsi" w:hAnsiTheme="majorHAnsi" w:cstheme="majorHAnsi"/>
          <w:lang w:val="en-US"/>
        </w:rPr>
        <w:t xml:space="preserve">training, </w:t>
      </w:r>
      <w:r w:rsidRPr="00C44F0D">
        <w:rPr>
          <w:rFonts w:asciiTheme="majorHAnsi" w:hAnsiTheme="majorHAnsi" w:cstheme="majorHAnsi"/>
          <w:lang w:val="en-US"/>
        </w:rPr>
        <w:t xml:space="preserve">research and </w:t>
      </w:r>
      <w:r w:rsidR="00BE2B1B">
        <w:rPr>
          <w:rFonts w:asciiTheme="majorHAnsi" w:hAnsiTheme="majorHAnsi" w:cstheme="majorHAnsi"/>
          <w:lang w:val="en-US"/>
        </w:rPr>
        <w:t>innovation</w:t>
      </w:r>
      <w:r w:rsidRPr="00C44F0D">
        <w:rPr>
          <w:rFonts w:asciiTheme="majorHAnsi" w:hAnsiTheme="majorHAnsi" w:cstheme="majorHAnsi"/>
          <w:lang w:val="en-US"/>
        </w:rPr>
        <w:t xml:space="preserve"> </w:t>
      </w:r>
      <w:r w:rsidR="00BE6CB5" w:rsidRPr="00C44F0D">
        <w:rPr>
          <w:rFonts w:asciiTheme="majorHAnsi" w:hAnsiTheme="majorHAnsi" w:cstheme="majorHAnsi"/>
          <w:lang w:val="en-US"/>
        </w:rPr>
        <w:t>across the</w:t>
      </w:r>
      <w:r w:rsidRPr="00C44F0D">
        <w:rPr>
          <w:rFonts w:asciiTheme="majorHAnsi" w:hAnsiTheme="majorHAnsi" w:cstheme="majorHAnsi"/>
          <w:lang w:val="en-US"/>
        </w:rPr>
        <w:t xml:space="preserve"> wider society.</w:t>
      </w:r>
    </w:p>
    <w:p w14:paraId="2B54714C" w14:textId="2EC7ADBC" w:rsidR="002E1DCC" w:rsidRPr="00FE0611" w:rsidRDefault="002E1DCC" w:rsidP="00FE0611">
      <w:pPr>
        <w:pStyle w:val="Heading2"/>
        <w:spacing w:after="120" w:line="240" w:lineRule="auto"/>
        <w:rPr>
          <w:lang w:val="en-GB"/>
        </w:rPr>
      </w:pPr>
      <w:r w:rsidRPr="00C44F0D">
        <w:rPr>
          <w:lang w:val="en-GB"/>
        </w:rPr>
        <w:t>Deliverables</w:t>
      </w:r>
    </w:p>
    <w:p w14:paraId="618B4281" w14:textId="6689CFC7" w:rsidR="00CC7882" w:rsidRPr="00C44F0D" w:rsidRDefault="00CC7882" w:rsidP="00FE0611">
      <w:pPr>
        <w:spacing w:after="120" w:line="240" w:lineRule="auto"/>
        <w:jc w:val="both"/>
        <w:rPr>
          <w:rFonts w:asciiTheme="majorHAnsi" w:hAnsiTheme="majorHAnsi" w:cstheme="majorHAnsi"/>
          <w:lang w:val="en-US"/>
        </w:rPr>
      </w:pPr>
      <w:r w:rsidRPr="00C44F0D">
        <w:rPr>
          <w:rFonts w:asciiTheme="majorHAnsi" w:hAnsiTheme="majorHAnsi" w:cstheme="majorHAnsi"/>
          <w:lang w:val="en-US"/>
        </w:rPr>
        <w:t xml:space="preserve">As an EU alliance, ERMA </w:t>
      </w:r>
      <w:r w:rsidR="0067614F" w:rsidRPr="00C44F0D">
        <w:rPr>
          <w:rFonts w:asciiTheme="majorHAnsi" w:hAnsiTheme="majorHAnsi" w:cstheme="majorHAnsi"/>
          <w:lang w:val="en-US"/>
        </w:rPr>
        <w:t xml:space="preserve">will </w:t>
      </w:r>
      <w:r w:rsidR="00C533AF" w:rsidRPr="00C44F0D">
        <w:rPr>
          <w:rFonts w:asciiTheme="majorHAnsi" w:hAnsiTheme="majorHAnsi" w:cstheme="majorHAnsi"/>
          <w:lang w:val="en-US"/>
        </w:rPr>
        <w:t>accomplish</w:t>
      </w:r>
      <w:r w:rsidR="00FA7B65" w:rsidRPr="00C44F0D">
        <w:rPr>
          <w:rFonts w:asciiTheme="majorHAnsi" w:hAnsiTheme="majorHAnsi" w:cstheme="majorHAnsi"/>
          <w:lang w:val="en-US"/>
        </w:rPr>
        <w:t xml:space="preserve"> </w:t>
      </w:r>
      <w:r w:rsidR="0067614F" w:rsidRPr="00C44F0D">
        <w:rPr>
          <w:rFonts w:asciiTheme="majorHAnsi" w:hAnsiTheme="majorHAnsi" w:cstheme="majorHAnsi"/>
          <w:lang w:val="en-US"/>
        </w:rPr>
        <w:t>the following</w:t>
      </w:r>
      <w:r w:rsidRPr="00C44F0D">
        <w:rPr>
          <w:rFonts w:asciiTheme="majorHAnsi" w:hAnsiTheme="majorHAnsi" w:cstheme="majorHAnsi"/>
          <w:lang w:val="en-US"/>
        </w:rPr>
        <w:t xml:space="preserve"> four deliverables:</w:t>
      </w:r>
    </w:p>
    <w:p w14:paraId="36833D29" w14:textId="4B1230EB" w:rsidR="00CC7882" w:rsidRPr="00C44F0D" w:rsidRDefault="00CC7882" w:rsidP="00FE061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567" w:hanging="280"/>
        <w:jc w:val="both"/>
        <w:rPr>
          <w:rFonts w:asciiTheme="majorHAnsi" w:hAnsiTheme="majorHAnsi" w:cstheme="majorHAnsi"/>
          <w:lang w:val="en-US"/>
        </w:rPr>
      </w:pPr>
      <w:r w:rsidRPr="00C44F0D">
        <w:rPr>
          <w:rFonts w:asciiTheme="majorHAnsi" w:hAnsiTheme="majorHAnsi" w:cstheme="majorHAnsi"/>
          <w:lang w:val="en-US"/>
        </w:rPr>
        <w:t xml:space="preserve">Establish </w:t>
      </w:r>
      <w:r w:rsidR="00222F93">
        <w:rPr>
          <w:rFonts w:asciiTheme="majorHAnsi" w:hAnsiTheme="majorHAnsi" w:cstheme="majorHAnsi"/>
          <w:lang w:val="en-US"/>
        </w:rPr>
        <w:t>a</w:t>
      </w:r>
      <w:r w:rsidR="00BE2B1B">
        <w:rPr>
          <w:rFonts w:asciiTheme="majorHAnsi" w:hAnsiTheme="majorHAnsi" w:cstheme="majorHAnsi"/>
          <w:lang w:val="en-US"/>
        </w:rPr>
        <w:t>n agile and inclusive</w:t>
      </w:r>
      <w:r w:rsidR="00222F93">
        <w:rPr>
          <w:rFonts w:asciiTheme="majorHAnsi" w:hAnsiTheme="majorHAnsi" w:cstheme="majorHAnsi"/>
          <w:lang w:val="en-US"/>
        </w:rPr>
        <w:t xml:space="preserve"> </w:t>
      </w:r>
      <w:r w:rsidRPr="00C44F0D">
        <w:rPr>
          <w:rFonts w:asciiTheme="majorHAnsi" w:hAnsiTheme="majorHAnsi" w:cstheme="majorHAnsi"/>
          <w:lang w:val="en-US"/>
        </w:rPr>
        <w:t>stakeholder consultation process</w:t>
      </w:r>
    </w:p>
    <w:p w14:paraId="63CE0FC1" w14:textId="77777777" w:rsidR="00CC7882" w:rsidRPr="00C44F0D" w:rsidRDefault="00CC7882" w:rsidP="00FE061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567" w:hanging="280"/>
        <w:jc w:val="both"/>
        <w:rPr>
          <w:rFonts w:asciiTheme="majorHAnsi" w:hAnsiTheme="majorHAnsi" w:cstheme="majorHAnsi"/>
          <w:lang w:val="en-US"/>
        </w:rPr>
      </w:pPr>
      <w:r w:rsidRPr="00C44F0D">
        <w:rPr>
          <w:rFonts w:asciiTheme="majorHAnsi" w:hAnsiTheme="majorHAnsi" w:cstheme="majorHAnsi"/>
          <w:lang w:val="en-US"/>
        </w:rPr>
        <w:t>Support EU industrial policy</w:t>
      </w:r>
      <w:r w:rsidR="008E73DC" w:rsidRPr="00C44F0D">
        <w:rPr>
          <w:rFonts w:asciiTheme="majorHAnsi" w:hAnsiTheme="majorHAnsi" w:cstheme="majorHAnsi"/>
          <w:lang w:val="en-US"/>
        </w:rPr>
        <w:t xml:space="preserve"> to</w:t>
      </w:r>
      <w:r w:rsidR="00C44F0D">
        <w:rPr>
          <w:rFonts w:asciiTheme="majorHAnsi" w:hAnsiTheme="majorHAnsi" w:cstheme="majorHAnsi"/>
          <w:lang w:val="en-US"/>
        </w:rPr>
        <w:t xml:space="preserve"> </w:t>
      </w:r>
      <w:r w:rsidRPr="00C44F0D">
        <w:rPr>
          <w:rFonts w:asciiTheme="majorHAnsi" w:hAnsiTheme="majorHAnsi" w:cstheme="majorHAnsi"/>
          <w:lang w:val="en-US"/>
        </w:rPr>
        <w:t>mitigate regulatory and financing bottlenecks</w:t>
      </w:r>
    </w:p>
    <w:p w14:paraId="733F525A" w14:textId="339A5A59" w:rsidR="00CC7882" w:rsidRPr="00C44F0D" w:rsidRDefault="00BE2B1B" w:rsidP="00FE061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567" w:hanging="280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Set up</w:t>
      </w:r>
      <w:r w:rsidR="00CC7882" w:rsidRPr="00C44F0D">
        <w:rPr>
          <w:rFonts w:asciiTheme="majorHAnsi" w:hAnsiTheme="majorHAnsi" w:cstheme="majorHAnsi"/>
          <w:lang w:val="en-US"/>
        </w:rPr>
        <w:t xml:space="preserve"> a</w:t>
      </w:r>
      <w:r w:rsidR="00CF7F93" w:rsidRPr="00C44F0D">
        <w:rPr>
          <w:rFonts w:asciiTheme="majorHAnsi" w:hAnsiTheme="majorHAnsi" w:cstheme="majorHAnsi"/>
          <w:lang w:val="en-US"/>
        </w:rPr>
        <w:t xml:space="preserve"> Raw</w:t>
      </w:r>
      <w:r w:rsidR="00CC7882" w:rsidRPr="00C44F0D">
        <w:rPr>
          <w:rFonts w:asciiTheme="majorHAnsi" w:hAnsiTheme="majorHAnsi" w:cstheme="majorHAnsi"/>
          <w:lang w:val="en-US"/>
        </w:rPr>
        <w:t xml:space="preserve"> Materials Investment Platform</w:t>
      </w:r>
      <w:r w:rsidR="0092735C" w:rsidRPr="00C44F0D">
        <w:rPr>
          <w:rFonts w:asciiTheme="majorHAnsi" w:hAnsiTheme="majorHAnsi" w:cstheme="majorHAnsi"/>
          <w:lang w:val="en-US"/>
        </w:rPr>
        <w:t xml:space="preserve"> (RMIP)</w:t>
      </w:r>
      <w:r>
        <w:rPr>
          <w:rFonts w:asciiTheme="majorHAnsi" w:hAnsiTheme="majorHAnsi" w:cstheme="majorHAnsi"/>
          <w:lang w:val="en-US"/>
        </w:rPr>
        <w:t xml:space="preserve"> to help leverage investment in a pipeline of key projects</w:t>
      </w:r>
    </w:p>
    <w:p w14:paraId="48CEA176" w14:textId="51067E63" w:rsidR="0067614F" w:rsidRPr="00FE0611" w:rsidRDefault="00BE2B1B" w:rsidP="00FE061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567" w:hanging="280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Foster</w:t>
      </w:r>
      <w:r w:rsidR="00CC7882" w:rsidRPr="00C44F0D">
        <w:rPr>
          <w:rFonts w:asciiTheme="majorHAnsi" w:hAnsiTheme="majorHAnsi" w:cstheme="majorHAnsi"/>
          <w:lang w:val="en-US"/>
        </w:rPr>
        <w:t xml:space="preserve"> a deeper strategic awareness</w:t>
      </w:r>
      <w:r>
        <w:rPr>
          <w:rFonts w:asciiTheme="majorHAnsi" w:hAnsiTheme="majorHAnsi" w:cstheme="majorHAnsi"/>
          <w:lang w:val="en-US"/>
        </w:rPr>
        <w:t>, including public acceptance of</w:t>
      </w:r>
      <w:r w:rsidR="00CC7882" w:rsidRPr="00C44F0D">
        <w:rPr>
          <w:rFonts w:asciiTheme="majorHAnsi" w:hAnsiTheme="majorHAnsi" w:cstheme="majorHAnsi"/>
          <w:lang w:val="en-US"/>
        </w:rPr>
        <w:t xml:space="preserve"> </w:t>
      </w:r>
      <w:r w:rsidR="00A65F2F" w:rsidRPr="00C44F0D">
        <w:rPr>
          <w:rFonts w:asciiTheme="majorHAnsi" w:hAnsiTheme="majorHAnsi" w:cstheme="majorHAnsi"/>
          <w:lang w:val="en-US"/>
        </w:rPr>
        <w:t>and forward</w:t>
      </w:r>
      <w:r>
        <w:rPr>
          <w:rFonts w:asciiTheme="majorHAnsi" w:hAnsiTheme="majorHAnsi" w:cstheme="majorHAnsi"/>
          <w:lang w:val="en-US"/>
        </w:rPr>
        <w:t>-looking perspective on</w:t>
      </w:r>
      <w:r w:rsidR="00CC7882" w:rsidRPr="00C44F0D">
        <w:rPr>
          <w:rFonts w:asciiTheme="majorHAnsi" w:hAnsiTheme="majorHAnsi" w:cstheme="majorHAnsi"/>
          <w:lang w:val="en-US"/>
        </w:rPr>
        <w:t xml:space="preserve"> the role of raw and advanced materials in the transition to the Green </w:t>
      </w:r>
      <w:r w:rsidR="00CA102C">
        <w:rPr>
          <w:rFonts w:asciiTheme="majorHAnsi" w:hAnsiTheme="majorHAnsi" w:cstheme="majorHAnsi"/>
          <w:lang w:val="en-US"/>
        </w:rPr>
        <w:t xml:space="preserve">and Digital </w:t>
      </w:r>
      <w:r w:rsidR="00CC7882" w:rsidRPr="00C44F0D">
        <w:rPr>
          <w:rFonts w:asciiTheme="majorHAnsi" w:hAnsiTheme="majorHAnsi" w:cstheme="majorHAnsi"/>
          <w:lang w:val="en-US"/>
        </w:rPr>
        <w:t>Economy</w:t>
      </w:r>
    </w:p>
    <w:p w14:paraId="12CD25FB" w14:textId="77777777" w:rsidR="00EF45A8" w:rsidRDefault="00EF45A8" w:rsidP="00CA102C">
      <w:pPr>
        <w:spacing w:after="120" w:line="240" w:lineRule="auto"/>
        <w:jc w:val="both"/>
        <w:rPr>
          <w:rFonts w:asciiTheme="majorHAnsi" w:hAnsiTheme="majorHAnsi" w:cstheme="majorHAnsi"/>
          <w:bCs/>
          <w:lang w:val="en-US"/>
        </w:rPr>
      </w:pPr>
    </w:p>
    <w:p w14:paraId="46EF7F39" w14:textId="77777777" w:rsidR="00EF45A8" w:rsidRDefault="00EF45A8" w:rsidP="00CA102C">
      <w:pPr>
        <w:spacing w:after="120" w:line="240" w:lineRule="auto"/>
        <w:jc w:val="both"/>
        <w:rPr>
          <w:rFonts w:asciiTheme="majorHAnsi" w:hAnsiTheme="majorHAnsi" w:cstheme="majorHAnsi"/>
          <w:bCs/>
          <w:lang w:val="en-US"/>
        </w:rPr>
      </w:pPr>
    </w:p>
    <w:p w14:paraId="6064F05C" w14:textId="77777777" w:rsidR="00EF45A8" w:rsidRDefault="00EF45A8" w:rsidP="00CA102C">
      <w:pPr>
        <w:spacing w:after="120" w:line="240" w:lineRule="auto"/>
        <w:jc w:val="both"/>
        <w:rPr>
          <w:rFonts w:asciiTheme="majorHAnsi" w:hAnsiTheme="majorHAnsi" w:cstheme="majorHAnsi"/>
          <w:bCs/>
          <w:lang w:val="en-US"/>
        </w:rPr>
      </w:pPr>
    </w:p>
    <w:p w14:paraId="2FF2DA25" w14:textId="77777777" w:rsidR="00EF45A8" w:rsidRDefault="00EF45A8" w:rsidP="00CA102C">
      <w:pPr>
        <w:spacing w:after="120" w:line="240" w:lineRule="auto"/>
        <w:jc w:val="both"/>
        <w:rPr>
          <w:rFonts w:asciiTheme="majorHAnsi" w:hAnsiTheme="majorHAnsi" w:cstheme="majorHAnsi"/>
          <w:bCs/>
          <w:lang w:val="en-US"/>
        </w:rPr>
      </w:pPr>
    </w:p>
    <w:p w14:paraId="3A150CFA" w14:textId="10D49355" w:rsidR="00CC7882" w:rsidRPr="00FE0611" w:rsidRDefault="00CC7882" w:rsidP="00CA102C">
      <w:pPr>
        <w:spacing w:after="120" w:line="240" w:lineRule="auto"/>
        <w:jc w:val="both"/>
        <w:rPr>
          <w:rFonts w:asciiTheme="majorHAnsi" w:hAnsiTheme="majorHAnsi" w:cstheme="majorHAnsi"/>
          <w:bCs/>
          <w:lang w:val="en-US"/>
        </w:rPr>
      </w:pPr>
      <w:r w:rsidRPr="00FE0611">
        <w:rPr>
          <w:rFonts w:asciiTheme="majorHAnsi" w:hAnsiTheme="majorHAnsi" w:cstheme="majorHAnsi"/>
          <w:bCs/>
          <w:lang w:val="en-US"/>
        </w:rPr>
        <w:t xml:space="preserve">The </w:t>
      </w:r>
      <w:r w:rsidR="0067614F" w:rsidRPr="00FE0611">
        <w:rPr>
          <w:rFonts w:asciiTheme="majorHAnsi" w:hAnsiTheme="majorHAnsi" w:cstheme="majorHAnsi"/>
          <w:bCs/>
          <w:lang w:val="en-US"/>
        </w:rPr>
        <w:t>deliverables</w:t>
      </w:r>
      <w:r w:rsidRPr="00FE0611">
        <w:rPr>
          <w:rFonts w:asciiTheme="majorHAnsi" w:hAnsiTheme="majorHAnsi" w:cstheme="majorHAnsi"/>
          <w:bCs/>
          <w:lang w:val="en-US"/>
        </w:rPr>
        <w:t xml:space="preserve"> will be achieved through two workstreams:</w:t>
      </w:r>
    </w:p>
    <w:p w14:paraId="549F95E1" w14:textId="77777777" w:rsidR="00CC7882" w:rsidRPr="00C44F0D" w:rsidRDefault="00CC7882" w:rsidP="00FE0611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Theme="majorHAnsi" w:hAnsiTheme="majorHAnsi" w:cstheme="majorHAnsi"/>
          <w:lang w:val="en-US"/>
        </w:rPr>
      </w:pPr>
      <w:r w:rsidRPr="00886C52">
        <w:rPr>
          <w:rFonts w:asciiTheme="majorHAnsi" w:hAnsiTheme="majorHAnsi" w:cstheme="majorHAnsi"/>
          <w:b/>
          <w:bCs/>
          <w:lang w:val="en-US"/>
        </w:rPr>
        <w:t>Value chain</w:t>
      </w:r>
      <w:r w:rsidR="00C533AF" w:rsidRPr="00886C52">
        <w:rPr>
          <w:rFonts w:asciiTheme="majorHAnsi" w:hAnsiTheme="majorHAnsi" w:cstheme="majorHAnsi"/>
          <w:b/>
          <w:bCs/>
          <w:lang w:val="en-US"/>
        </w:rPr>
        <w:t>-</w:t>
      </w:r>
      <w:r w:rsidRPr="00886C52">
        <w:rPr>
          <w:rFonts w:asciiTheme="majorHAnsi" w:hAnsiTheme="majorHAnsi" w:cstheme="majorHAnsi"/>
          <w:b/>
          <w:bCs/>
          <w:lang w:val="en-US"/>
        </w:rPr>
        <w:t>specific consultation processes</w:t>
      </w:r>
      <w:r w:rsidRPr="00C44F0D">
        <w:rPr>
          <w:rFonts w:asciiTheme="majorHAnsi" w:hAnsiTheme="majorHAnsi" w:cstheme="majorHAnsi"/>
          <w:lang w:val="en-US"/>
        </w:rPr>
        <w:t>:</w:t>
      </w:r>
    </w:p>
    <w:p w14:paraId="0945C863" w14:textId="4FA9FFD1" w:rsidR="00CC7882" w:rsidRPr="00C44F0D" w:rsidRDefault="00CC7882" w:rsidP="00FE061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567" w:hanging="280"/>
        <w:jc w:val="both"/>
        <w:rPr>
          <w:rFonts w:asciiTheme="majorHAnsi" w:hAnsiTheme="majorHAnsi" w:cstheme="majorHAnsi"/>
          <w:lang w:val="en-US"/>
        </w:rPr>
      </w:pPr>
      <w:r w:rsidRPr="00C44F0D">
        <w:rPr>
          <w:rFonts w:asciiTheme="majorHAnsi" w:hAnsiTheme="majorHAnsi" w:cstheme="majorHAnsi"/>
          <w:lang w:val="en-US"/>
        </w:rPr>
        <w:t xml:space="preserve">Identify </w:t>
      </w:r>
      <w:r w:rsidR="00CA102C">
        <w:rPr>
          <w:rFonts w:asciiTheme="majorHAnsi" w:hAnsiTheme="majorHAnsi" w:cstheme="majorHAnsi"/>
          <w:lang w:val="en-US"/>
        </w:rPr>
        <w:t xml:space="preserve">and respond to </w:t>
      </w:r>
      <w:r w:rsidRPr="00C44F0D">
        <w:rPr>
          <w:rFonts w:asciiTheme="majorHAnsi" w:hAnsiTheme="majorHAnsi" w:cstheme="majorHAnsi"/>
          <w:lang w:val="en-US"/>
        </w:rPr>
        <w:t>raw material challenges along industrial ecosystems</w:t>
      </w:r>
      <w:r w:rsidR="00C533AF" w:rsidRPr="00C44F0D">
        <w:rPr>
          <w:rFonts w:asciiTheme="majorHAnsi" w:hAnsiTheme="majorHAnsi" w:cstheme="majorHAnsi"/>
          <w:lang w:val="en-US"/>
        </w:rPr>
        <w:t xml:space="preserve"> and within the wider society</w:t>
      </w:r>
    </w:p>
    <w:p w14:paraId="552523CD" w14:textId="77777777" w:rsidR="00CC7882" w:rsidRPr="00C44F0D" w:rsidRDefault="00CC7882" w:rsidP="00FE061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567" w:hanging="280"/>
        <w:jc w:val="both"/>
        <w:rPr>
          <w:rFonts w:asciiTheme="majorHAnsi" w:hAnsiTheme="majorHAnsi" w:cstheme="majorHAnsi"/>
          <w:lang w:val="en-US"/>
        </w:rPr>
      </w:pPr>
      <w:r w:rsidRPr="00C44F0D">
        <w:rPr>
          <w:rFonts w:asciiTheme="majorHAnsi" w:hAnsiTheme="majorHAnsi" w:cstheme="majorHAnsi"/>
          <w:lang w:val="en-US"/>
        </w:rPr>
        <w:t xml:space="preserve">Provide tailored solutions to </w:t>
      </w:r>
      <w:r w:rsidR="001C7FFC" w:rsidRPr="00C44F0D">
        <w:rPr>
          <w:rFonts w:asciiTheme="majorHAnsi" w:hAnsiTheme="majorHAnsi" w:cstheme="majorHAnsi"/>
          <w:lang w:val="en-US"/>
        </w:rPr>
        <w:t>industry</w:t>
      </w:r>
      <w:r w:rsidR="0071495D" w:rsidRPr="00C44F0D">
        <w:rPr>
          <w:rFonts w:asciiTheme="majorHAnsi" w:hAnsiTheme="majorHAnsi" w:cstheme="majorHAnsi"/>
          <w:lang w:val="en-US"/>
        </w:rPr>
        <w:t xml:space="preserve"> needs</w:t>
      </w:r>
    </w:p>
    <w:p w14:paraId="0CDB6543" w14:textId="77777777" w:rsidR="00CC7882" w:rsidRPr="00C44F0D" w:rsidRDefault="00CC7882" w:rsidP="00FE061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567" w:hanging="280"/>
        <w:jc w:val="both"/>
        <w:rPr>
          <w:rFonts w:asciiTheme="majorHAnsi" w:hAnsiTheme="majorHAnsi" w:cstheme="majorHAnsi"/>
          <w:lang w:val="en-US"/>
        </w:rPr>
      </w:pPr>
      <w:r w:rsidRPr="00C44F0D">
        <w:rPr>
          <w:rFonts w:asciiTheme="majorHAnsi" w:hAnsiTheme="majorHAnsi" w:cstheme="majorHAnsi"/>
          <w:lang w:val="en-US"/>
        </w:rPr>
        <w:t>Unlock regulatory bottlenecks</w:t>
      </w:r>
      <w:r w:rsidR="00E773F7" w:rsidRPr="00C44F0D">
        <w:rPr>
          <w:rFonts w:asciiTheme="majorHAnsi" w:hAnsiTheme="majorHAnsi" w:cstheme="majorHAnsi"/>
          <w:lang w:val="en-US"/>
        </w:rPr>
        <w:t xml:space="preserve"> </w:t>
      </w:r>
      <w:r w:rsidRPr="00C44F0D">
        <w:rPr>
          <w:rFonts w:asciiTheme="majorHAnsi" w:hAnsiTheme="majorHAnsi" w:cstheme="majorHAnsi"/>
          <w:lang w:val="en-US"/>
        </w:rPr>
        <w:t xml:space="preserve"> </w:t>
      </w:r>
    </w:p>
    <w:p w14:paraId="626AED39" w14:textId="241C32E6" w:rsidR="00CA102C" w:rsidRDefault="00CA102C" w:rsidP="00CA102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567" w:hanging="278"/>
        <w:contextualSpacing w:val="0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Promote s</w:t>
      </w:r>
      <w:r w:rsidR="00CC7882" w:rsidRPr="00C44F0D">
        <w:rPr>
          <w:rFonts w:asciiTheme="majorHAnsi" w:hAnsiTheme="majorHAnsi" w:cstheme="majorHAnsi"/>
          <w:lang w:val="en-US"/>
        </w:rPr>
        <w:t>takeholder</w:t>
      </w:r>
      <w:r>
        <w:rPr>
          <w:rFonts w:asciiTheme="majorHAnsi" w:hAnsiTheme="majorHAnsi" w:cstheme="majorHAnsi"/>
          <w:lang w:val="en-US"/>
        </w:rPr>
        <w:t>s’ strong engagement and commitment</w:t>
      </w:r>
      <w:r w:rsidR="007F5A58" w:rsidRPr="00C44F0D">
        <w:rPr>
          <w:rFonts w:asciiTheme="majorHAnsi" w:hAnsiTheme="majorHAnsi" w:cstheme="majorHAnsi"/>
          <w:lang w:val="en-US"/>
        </w:rPr>
        <w:t xml:space="preserve"> </w:t>
      </w:r>
      <w:r w:rsidR="00CC7882" w:rsidRPr="00C44F0D">
        <w:rPr>
          <w:rFonts w:asciiTheme="majorHAnsi" w:hAnsiTheme="majorHAnsi" w:cstheme="majorHAnsi"/>
          <w:lang w:val="en-US"/>
        </w:rPr>
        <w:t xml:space="preserve">through </w:t>
      </w:r>
      <w:r w:rsidR="007F5A58" w:rsidRPr="00C44F0D">
        <w:rPr>
          <w:rFonts w:asciiTheme="majorHAnsi" w:hAnsiTheme="majorHAnsi" w:cstheme="majorHAnsi"/>
          <w:lang w:val="en-US"/>
        </w:rPr>
        <w:t xml:space="preserve">an </w:t>
      </w:r>
      <w:r w:rsidR="00CC7882" w:rsidRPr="00C44F0D">
        <w:rPr>
          <w:rFonts w:asciiTheme="majorHAnsi" w:hAnsiTheme="majorHAnsi" w:cstheme="majorHAnsi"/>
          <w:lang w:val="en-US"/>
        </w:rPr>
        <w:t xml:space="preserve">open process </w:t>
      </w:r>
    </w:p>
    <w:p w14:paraId="543425A5" w14:textId="77777777" w:rsidR="00CC7882" w:rsidRPr="00886C52" w:rsidRDefault="0067614F" w:rsidP="00FE0611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Theme="majorHAnsi" w:hAnsiTheme="majorHAnsi" w:cstheme="majorHAnsi"/>
          <w:b/>
          <w:bCs/>
          <w:lang w:val="en-US"/>
        </w:rPr>
      </w:pPr>
      <w:r w:rsidRPr="00886C52">
        <w:rPr>
          <w:rFonts w:asciiTheme="majorHAnsi" w:hAnsiTheme="majorHAnsi" w:cstheme="majorHAnsi"/>
          <w:b/>
          <w:bCs/>
          <w:lang w:val="en-US"/>
        </w:rPr>
        <w:t>I</w:t>
      </w:r>
      <w:r w:rsidR="00CC7882" w:rsidRPr="00886C52">
        <w:rPr>
          <w:rFonts w:asciiTheme="majorHAnsi" w:hAnsiTheme="majorHAnsi" w:cstheme="majorHAnsi"/>
          <w:b/>
          <w:bCs/>
          <w:lang w:val="en-US"/>
        </w:rPr>
        <w:t>nvestment channel for raw material</w:t>
      </w:r>
      <w:r w:rsidR="00C533AF" w:rsidRPr="00886C52">
        <w:rPr>
          <w:rFonts w:asciiTheme="majorHAnsi" w:hAnsiTheme="majorHAnsi" w:cstheme="majorHAnsi"/>
          <w:b/>
          <w:bCs/>
          <w:lang w:val="en-US"/>
        </w:rPr>
        <w:t>s</w:t>
      </w:r>
      <w:r w:rsidR="00CC7882" w:rsidRPr="00886C52">
        <w:rPr>
          <w:rFonts w:asciiTheme="majorHAnsi" w:hAnsiTheme="majorHAnsi" w:cstheme="majorHAnsi"/>
          <w:b/>
          <w:bCs/>
          <w:lang w:val="en-US"/>
        </w:rPr>
        <w:t xml:space="preserve"> projects:</w:t>
      </w:r>
    </w:p>
    <w:p w14:paraId="6F95102B" w14:textId="255590E3" w:rsidR="00CC7882" w:rsidRPr="00C44F0D" w:rsidRDefault="00CC7882" w:rsidP="00FE061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567" w:hanging="280"/>
        <w:jc w:val="both"/>
        <w:rPr>
          <w:rFonts w:asciiTheme="majorHAnsi" w:hAnsiTheme="majorHAnsi" w:cstheme="majorHAnsi"/>
          <w:lang w:val="en-US"/>
        </w:rPr>
      </w:pPr>
      <w:r w:rsidRPr="00C44F0D">
        <w:rPr>
          <w:rFonts w:asciiTheme="majorHAnsi" w:hAnsiTheme="majorHAnsi" w:cstheme="majorHAnsi"/>
          <w:lang w:val="en-US"/>
        </w:rPr>
        <w:t>Select and prioritize cases to secure</w:t>
      </w:r>
      <w:r w:rsidR="00F42039" w:rsidRPr="00C44F0D">
        <w:rPr>
          <w:rFonts w:asciiTheme="majorHAnsi" w:hAnsiTheme="majorHAnsi" w:cstheme="majorHAnsi"/>
          <w:lang w:val="en-US"/>
        </w:rPr>
        <w:t xml:space="preserve"> </w:t>
      </w:r>
      <w:r w:rsidR="00CA102C">
        <w:rPr>
          <w:rFonts w:asciiTheme="majorHAnsi" w:hAnsiTheme="majorHAnsi" w:cstheme="majorHAnsi"/>
          <w:lang w:val="en-US"/>
        </w:rPr>
        <w:t xml:space="preserve">primary and secondary </w:t>
      </w:r>
      <w:r w:rsidR="00F42039" w:rsidRPr="00C44F0D">
        <w:rPr>
          <w:rFonts w:asciiTheme="majorHAnsi" w:hAnsiTheme="majorHAnsi" w:cstheme="majorHAnsi"/>
          <w:lang w:val="en-US"/>
        </w:rPr>
        <w:t>raw materials</w:t>
      </w:r>
      <w:r w:rsidR="00C460B1" w:rsidRPr="00C44F0D">
        <w:rPr>
          <w:rFonts w:asciiTheme="majorHAnsi" w:hAnsiTheme="majorHAnsi" w:cstheme="majorHAnsi"/>
          <w:lang w:val="en-US"/>
        </w:rPr>
        <w:t xml:space="preserve"> supply </w:t>
      </w:r>
      <w:r w:rsidR="00CF032A">
        <w:rPr>
          <w:rFonts w:asciiTheme="majorHAnsi" w:hAnsiTheme="majorHAnsi" w:cstheme="majorHAnsi"/>
          <w:lang w:val="en-US"/>
        </w:rPr>
        <w:t>for</w:t>
      </w:r>
      <w:r w:rsidRPr="00C44F0D">
        <w:rPr>
          <w:rFonts w:asciiTheme="majorHAnsi" w:hAnsiTheme="majorHAnsi" w:cstheme="majorHAnsi"/>
          <w:lang w:val="en-US"/>
        </w:rPr>
        <w:t xml:space="preserve"> European industrial ecosystems</w:t>
      </w:r>
    </w:p>
    <w:p w14:paraId="449A2AAC" w14:textId="77777777" w:rsidR="00CC7882" w:rsidRPr="00C44F0D" w:rsidRDefault="00CC7882" w:rsidP="00FE061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567" w:hanging="280"/>
        <w:jc w:val="both"/>
        <w:rPr>
          <w:rFonts w:asciiTheme="majorHAnsi" w:hAnsiTheme="majorHAnsi" w:cstheme="majorHAnsi"/>
          <w:lang w:val="en-US"/>
        </w:rPr>
      </w:pPr>
      <w:r w:rsidRPr="00C44F0D">
        <w:rPr>
          <w:rFonts w:asciiTheme="majorHAnsi" w:hAnsiTheme="majorHAnsi" w:cstheme="majorHAnsi"/>
          <w:lang w:val="en-US"/>
        </w:rPr>
        <w:t xml:space="preserve">Install </w:t>
      </w:r>
      <w:r w:rsidR="00CF7F93" w:rsidRPr="00C44F0D">
        <w:rPr>
          <w:rFonts w:asciiTheme="majorHAnsi" w:hAnsiTheme="majorHAnsi" w:cstheme="majorHAnsi"/>
          <w:lang w:val="en-US"/>
        </w:rPr>
        <w:t>R</w:t>
      </w:r>
      <w:r w:rsidR="00C460B1" w:rsidRPr="00C44F0D">
        <w:rPr>
          <w:rFonts w:asciiTheme="majorHAnsi" w:hAnsiTheme="majorHAnsi" w:cstheme="majorHAnsi"/>
          <w:lang w:val="en-US"/>
        </w:rPr>
        <w:t xml:space="preserve">aw </w:t>
      </w:r>
      <w:r w:rsidR="00CF7F93" w:rsidRPr="00C44F0D">
        <w:rPr>
          <w:rFonts w:asciiTheme="majorHAnsi" w:hAnsiTheme="majorHAnsi" w:cstheme="majorHAnsi"/>
          <w:lang w:val="en-US"/>
        </w:rPr>
        <w:t>M</w:t>
      </w:r>
      <w:r w:rsidR="00C460B1" w:rsidRPr="00C44F0D">
        <w:rPr>
          <w:rFonts w:asciiTheme="majorHAnsi" w:hAnsiTheme="majorHAnsi" w:cstheme="majorHAnsi"/>
          <w:lang w:val="en-US"/>
        </w:rPr>
        <w:t xml:space="preserve">aterials </w:t>
      </w:r>
      <w:r w:rsidR="00CF7F93" w:rsidRPr="00C44F0D">
        <w:rPr>
          <w:rFonts w:asciiTheme="majorHAnsi" w:hAnsiTheme="majorHAnsi" w:cstheme="majorHAnsi"/>
          <w:lang w:val="en-US"/>
        </w:rPr>
        <w:t>I</w:t>
      </w:r>
      <w:r w:rsidRPr="00C44F0D">
        <w:rPr>
          <w:rFonts w:asciiTheme="majorHAnsi" w:hAnsiTheme="majorHAnsi" w:cstheme="majorHAnsi"/>
          <w:lang w:val="en-US"/>
        </w:rPr>
        <w:t xml:space="preserve">nvestment </w:t>
      </w:r>
      <w:r w:rsidR="00CF7F93" w:rsidRPr="00C44F0D">
        <w:rPr>
          <w:rFonts w:asciiTheme="majorHAnsi" w:hAnsiTheme="majorHAnsi" w:cstheme="majorHAnsi"/>
          <w:lang w:val="en-US"/>
        </w:rPr>
        <w:t>P</w:t>
      </w:r>
      <w:r w:rsidRPr="00C44F0D">
        <w:rPr>
          <w:rFonts w:asciiTheme="majorHAnsi" w:hAnsiTheme="majorHAnsi" w:cstheme="majorHAnsi"/>
          <w:lang w:val="en-US"/>
        </w:rPr>
        <w:t>latform</w:t>
      </w:r>
      <w:r w:rsidR="0092735C" w:rsidRPr="00C44F0D">
        <w:rPr>
          <w:rFonts w:asciiTheme="majorHAnsi" w:hAnsiTheme="majorHAnsi" w:cstheme="majorHAnsi"/>
          <w:lang w:val="en-US"/>
        </w:rPr>
        <w:t xml:space="preserve"> (RMIP)</w:t>
      </w:r>
      <w:r w:rsidRPr="00C44F0D">
        <w:rPr>
          <w:rFonts w:asciiTheme="majorHAnsi" w:hAnsiTheme="majorHAnsi" w:cstheme="majorHAnsi"/>
          <w:lang w:val="en-US"/>
        </w:rPr>
        <w:t xml:space="preserve"> to bring investors and investees together</w:t>
      </w:r>
    </w:p>
    <w:p w14:paraId="6963D56F" w14:textId="77777777" w:rsidR="005638F3" w:rsidRPr="00C44F0D" w:rsidRDefault="00CC7882" w:rsidP="00FE061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567" w:hanging="280"/>
        <w:jc w:val="both"/>
        <w:rPr>
          <w:rFonts w:asciiTheme="majorHAnsi" w:hAnsiTheme="majorHAnsi" w:cstheme="majorHAnsi"/>
          <w:lang w:val="en-US"/>
        </w:rPr>
      </w:pPr>
      <w:r w:rsidRPr="00C44F0D">
        <w:rPr>
          <w:rFonts w:asciiTheme="majorHAnsi" w:hAnsiTheme="majorHAnsi" w:cstheme="majorHAnsi"/>
          <w:lang w:val="en-US"/>
        </w:rPr>
        <w:t>Define case-specific financing strategies and mechanisms</w:t>
      </w:r>
    </w:p>
    <w:p w14:paraId="35FFF212" w14:textId="454DE08C" w:rsidR="00C44F0D" w:rsidRDefault="00164972" w:rsidP="00FE061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567" w:hanging="280"/>
        <w:jc w:val="both"/>
        <w:rPr>
          <w:rFonts w:asciiTheme="majorHAnsi" w:hAnsiTheme="majorHAnsi" w:cstheme="majorHAnsi"/>
          <w:lang w:val="en-US"/>
        </w:rPr>
      </w:pPr>
      <w:r w:rsidRPr="00C44F0D">
        <w:rPr>
          <w:rFonts w:asciiTheme="majorHAnsi" w:hAnsiTheme="majorHAnsi" w:cstheme="majorHAnsi"/>
          <w:lang w:val="en-US"/>
        </w:rPr>
        <w:t xml:space="preserve">Assess EU funding opportunities </w:t>
      </w:r>
      <w:r w:rsidR="00FF2A32" w:rsidRPr="00C44F0D">
        <w:rPr>
          <w:rFonts w:asciiTheme="majorHAnsi" w:hAnsiTheme="majorHAnsi" w:cstheme="majorHAnsi"/>
          <w:lang w:val="en-US"/>
        </w:rPr>
        <w:t xml:space="preserve">and financing sources </w:t>
      </w:r>
      <w:r w:rsidRPr="00C44F0D">
        <w:rPr>
          <w:rFonts w:asciiTheme="majorHAnsi" w:hAnsiTheme="majorHAnsi" w:cstheme="majorHAnsi"/>
          <w:lang w:val="en-US"/>
        </w:rPr>
        <w:t>f</w:t>
      </w:r>
      <w:r w:rsidR="00FF2A32" w:rsidRPr="00C44F0D">
        <w:rPr>
          <w:rFonts w:asciiTheme="majorHAnsi" w:hAnsiTheme="majorHAnsi" w:cstheme="majorHAnsi"/>
          <w:lang w:val="en-US"/>
        </w:rPr>
        <w:t>or invest</w:t>
      </w:r>
      <w:r w:rsidR="00CF032A">
        <w:rPr>
          <w:rFonts w:asciiTheme="majorHAnsi" w:hAnsiTheme="majorHAnsi" w:cstheme="majorHAnsi"/>
          <w:lang w:val="en-US"/>
        </w:rPr>
        <w:t>ment</w:t>
      </w:r>
      <w:r w:rsidR="00FF2A32" w:rsidRPr="00C44F0D">
        <w:rPr>
          <w:rFonts w:asciiTheme="majorHAnsi" w:hAnsiTheme="majorHAnsi" w:cstheme="majorHAnsi"/>
          <w:lang w:val="en-US"/>
        </w:rPr>
        <w:t xml:space="preserve"> opportunities</w:t>
      </w:r>
      <w:r w:rsidR="00CA102C">
        <w:rPr>
          <w:rFonts w:asciiTheme="majorHAnsi" w:hAnsiTheme="majorHAnsi" w:cstheme="majorHAnsi"/>
          <w:lang w:val="en-US"/>
        </w:rPr>
        <w:t xml:space="preserve"> inside and outside Europe</w:t>
      </w:r>
    </w:p>
    <w:p w14:paraId="56A68872" w14:textId="77777777" w:rsidR="00CA102C" w:rsidRPr="00FE0611" w:rsidRDefault="00CA102C" w:rsidP="00CA102C">
      <w:pPr>
        <w:keepNext/>
        <w:keepLines/>
        <w:spacing w:before="40" w:after="120" w:line="240" w:lineRule="auto"/>
        <w:outlineLvl w:val="1"/>
        <w:rPr>
          <w:lang w:val="en-GB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en-GB"/>
        </w:rPr>
        <w:t>Actors</w:t>
      </w:r>
    </w:p>
    <w:p w14:paraId="4DCD50F5" w14:textId="77777777" w:rsidR="00CA102C" w:rsidRDefault="00CA102C" w:rsidP="00CA102C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The European Commission launched ERMA on 29 September 2020. </w:t>
      </w:r>
    </w:p>
    <w:p w14:paraId="58A7B526" w14:textId="5458084A" w:rsidR="00CA102C" w:rsidRDefault="00CA102C" w:rsidP="00CA102C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EIT RawMaterials,</w:t>
      </w:r>
      <w:r w:rsidR="00D2409E">
        <w:rPr>
          <w:rFonts w:asciiTheme="majorHAnsi" w:hAnsiTheme="majorHAnsi" w:cstheme="majorHAnsi"/>
          <w:lang w:val="en-US"/>
        </w:rPr>
        <w:t xml:space="preserve"> initiated and funded by the EIT (European Institute of Innovation and Technology), a</w:t>
      </w:r>
      <w:r>
        <w:rPr>
          <w:rFonts w:asciiTheme="majorHAnsi" w:hAnsiTheme="majorHAnsi" w:cstheme="majorHAnsi"/>
          <w:lang w:val="en-US"/>
        </w:rPr>
        <w:t xml:space="preserve"> </w:t>
      </w:r>
      <w:r w:rsidR="00D2409E">
        <w:rPr>
          <w:rFonts w:asciiTheme="majorHAnsi" w:hAnsiTheme="majorHAnsi" w:cstheme="majorHAnsi"/>
          <w:lang w:val="en-US"/>
        </w:rPr>
        <w:t>body of the EU</w:t>
      </w:r>
      <w:r>
        <w:rPr>
          <w:rFonts w:asciiTheme="majorHAnsi" w:hAnsiTheme="majorHAnsi" w:cstheme="majorHAnsi"/>
          <w:lang w:val="en-US"/>
        </w:rPr>
        <w:t>, will manage ERMA and its activities.</w:t>
      </w:r>
    </w:p>
    <w:p w14:paraId="34DD4D18" w14:textId="77777777" w:rsidR="00CA102C" w:rsidRPr="00CA102C" w:rsidRDefault="00CA102C" w:rsidP="00CA102C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The European Commission will ensure the governance framework for ERMA. It will use the European Innovation Partnership on Raw Materials</w:t>
      </w:r>
      <w:r>
        <w:rPr>
          <w:rStyle w:val="FootnoteReference"/>
          <w:rFonts w:asciiTheme="majorHAnsi" w:hAnsiTheme="majorHAnsi" w:cstheme="majorHAnsi"/>
          <w:lang w:val="en-US"/>
        </w:rPr>
        <w:footnoteReference w:id="1"/>
      </w:r>
      <w:r>
        <w:rPr>
          <w:rFonts w:asciiTheme="majorHAnsi" w:hAnsiTheme="majorHAnsi" w:cstheme="majorHAnsi"/>
          <w:lang w:val="en-US"/>
        </w:rPr>
        <w:t xml:space="preserve"> as the main forum to review progress and address issues that may require action at the EU level in order to remove barriers.</w:t>
      </w:r>
    </w:p>
    <w:p w14:paraId="22BEC5FF" w14:textId="459ABBCD" w:rsidR="00A16F18" w:rsidRPr="00FE0611" w:rsidRDefault="00A16F18" w:rsidP="00FE0611">
      <w:pPr>
        <w:keepNext/>
        <w:keepLines/>
        <w:spacing w:before="40" w:after="120" w:line="240" w:lineRule="auto"/>
        <w:outlineLvl w:val="1"/>
        <w:rPr>
          <w:lang w:val="en-GB"/>
        </w:rPr>
      </w:pPr>
      <w:r w:rsidRPr="00C44F0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en-GB"/>
        </w:rPr>
        <w:t xml:space="preserve">Who can </w:t>
      </w:r>
      <w:r w:rsidR="007D7EE3" w:rsidRPr="00C44F0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en-GB"/>
        </w:rPr>
        <w:t>join?</w:t>
      </w:r>
    </w:p>
    <w:p w14:paraId="25A577C9" w14:textId="44E34EBB" w:rsidR="00936EFE" w:rsidRDefault="00CF032A" w:rsidP="00FE0611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ajorHAnsi"/>
          <w:lang w:val="en-US"/>
        </w:rPr>
      </w:pPr>
      <w:r w:rsidRPr="00C44F0D">
        <w:rPr>
          <w:rFonts w:asciiTheme="majorHAnsi" w:hAnsiTheme="majorHAnsi" w:cstheme="majorHAnsi"/>
          <w:lang w:val="en-US"/>
        </w:rPr>
        <w:t xml:space="preserve">ERMA </w:t>
      </w:r>
      <w:r>
        <w:rPr>
          <w:rFonts w:asciiTheme="majorHAnsi" w:hAnsiTheme="majorHAnsi" w:cstheme="majorHAnsi"/>
          <w:lang w:val="en-US"/>
        </w:rPr>
        <w:t xml:space="preserve">welcomes </w:t>
      </w:r>
      <w:r w:rsidRPr="00C44F0D">
        <w:rPr>
          <w:rFonts w:asciiTheme="majorHAnsi" w:hAnsiTheme="majorHAnsi" w:cstheme="majorHAnsi"/>
          <w:lang w:val="en-US"/>
        </w:rPr>
        <w:t xml:space="preserve">all </w:t>
      </w:r>
      <w:r>
        <w:rPr>
          <w:rFonts w:asciiTheme="majorHAnsi" w:hAnsiTheme="majorHAnsi" w:cstheme="majorHAnsi"/>
          <w:lang w:val="en-US"/>
        </w:rPr>
        <w:t xml:space="preserve">industrial and non-industrial </w:t>
      </w:r>
      <w:r w:rsidRPr="00C44F0D">
        <w:rPr>
          <w:rFonts w:asciiTheme="majorHAnsi" w:hAnsiTheme="majorHAnsi" w:cstheme="majorHAnsi"/>
          <w:lang w:val="en-US"/>
        </w:rPr>
        <w:t>stakeholders</w:t>
      </w:r>
      <w:r>
        <w:rPr>
          <w:rFonts w:asciiTheme="majorHAnsi" w:hAnsiTheme="majorHAnsi" w:cstheme="majorHAnsi"/>
          <w:lang w:val="en-US"/>
        </w:rPr>
        <w:t>,</w:t>
      </w:r>
      <w:r w:rsidR="008A5B61">
        <w:rPr>
          <w:rFonts w:asciiTheme="majorHAnsi" w:hAnsiTheme="majorHAnsi" w:cstheme="majorHAnsi"/>
          <w:lang w:val="en-US"/>
        </w:rPr>
        <w:t xml:space="preserve"> </w:t>
      </w:r>
      <w:r w:rsidR="00CA102C">
        <w:rPr>
          <w:rFonts w:asciiTheme="majorHAnsi" w:hAnsiTheme="majorHAnsi" w:cstheme="majorHAnsi"/>
          <w:lang w:val="en-US"/>
        </w:rPr>
        <w:t xml:space="preserve">including </w:t>
      </w:r>
      <w:r w:rsidR="008A5B61">
        <w:rPr>
          <w:rFonts w:asciiTheme="majorHAnsi" w:hAnsiTheme="majorHAnsi" w:cstheme="majorHAnsi"/>
          <w:lang w:val="en-US"/>
        </w:rPr>
        <w:t xml:space="preserve">NGOs, trade unions, </w:t>
      </w:r>
      <w:r w:rsidR="00CA102C">
        <w:rPr>
          <w:rFonts w:asciiTheme="majorHAnsi" w:hAnsiTheme="majorHAnsi" w:cstheme="majorHAnsi"/>
          <w:lang w:val="en-US"/>
        </w:rPr>
        <w:t xml:space="preserve">national </w:t>
      </w:r>
      <w:r w:rsidR="008A5B61">
        <w:rPr>
          <w:rFonts w:asciiTheme="majorHAnsi" w:hAnsiTheme="majorHAnsi" w:cstheme="majorHAnsi"/>
          <w:lang w:val="en-US"/>
        </w:rPr>
        <w:t xml:space="preserve">governments, regions, </w:t>
      </w:r>
      <w:r w:rsidRPr="00C44F0D">
        <w:rPr>
          <w:rFonts w:asciiTheme="majorHAnsi" w:hAnsiTheme="majorHAnsi" w:cstheme="majorHAnsi"/>
          <w:lang w:val="en-US"/>
        </w:rPr>
        <w:t>European as well as non-European</w:t>
      </w:r>
      <w:r>
        <w:rPr>
          <w:rFonts w:asciiTheme="majorHAnsi" w:hAnsiTheme="majorHAnsi" w:cstheme="majorHAnsi"/>
          <w:lang w:val="en-US"/>
        </w:rPr>
        <w:t>,</w:t>
      </w:r>
      <w:r w:rsidRPr="00C44F0D">
        <w:rPr>
          <w:rFonts w:asciiTheme="majorHAnsi" w:hAnsiTheme="majorHAnsi" w:cstheme="majorHAnsi"/>
          <w:lang w:val="en-US"/>
        </w:rPr>
        <w:t xml:space="preserve"> that </w:t>
      </w:r>
      <w:r>
        <w:rPr>
          <w:rFonts w:asciiTheme="majorHAnsi" w:hAnsiTheme="majorHAnsi" w:cstheme="majorHAnsi"/>
          <w:lang w:val="en-US"/>
        </w:rPr>
        <w:t>commit to developing sustainable</w:t>
      </w:r>
      <w:r w:rsidRPr="00C44F0D">
        <w:rPr>
          <w:rFonts w:asciiTheme="majorHAnsi" w:hAnsiTheme="majorHAnsi" w:cstheme="majorHAnsi"/>
          <w:lang w:val="en-US"/>
        </w:rPr>
        <w:t xml:space="preserve"> raw material </w:t>
      </w:r>
      <w:r>
        <w:rPr>
          <w:rFonts w:asciiTheme="majorHAnsi" w:hAnsiTheme="majorHAnsi" w:cstheme="majorHAnsi"/>
          <w:lang w:val="en-US"/>
        </w:rPr>
        <w:t>value chains</w:t>
      </w:r>
      <w:r w:rsidRPr="00C44F0D">
        <w:rPr>
          <w:rFonts w:asciiTheme="majorHAnsi" w:hAnsiTheme="majorHAnsi" w:cstheme="majorHAnsi"/>
          <w:lang w:val="en-US"/>
        </w:rPr>
        <w:t xml:space="preserve"> for Europe</w:t>
      </w:r>
      <w:r>
        <w:rPr>
          <w:rFonts w:asciiTheme="majorHAnsi" w:hAnsiTheme="majorHAnsi" w:cstheme="majorHAnsi"/>
          <w:lang w:val="en-US"/>
        </w:rPr>
        <w:t xml:space="preserve">, </w:t>
      </w:r>
      <w:r w:rsidR="00936EFE">
        <w:rPr>
          <w:rFonts w:asciiTheme="majorHAnsi" w:hAnsiTheme="majorHAnsi" w:cstheme="majorHAnsi"/>
          <w:lang w:val="en-US"/>
        </w:rPr>
        <w:t>and to building</w:t>
      </w:r>
      <w:r w:rsidR="00A16F18" w:rsidRPr="00C44F0D">
        <w:rPr>
          <w:rFonts w:asciiTheme="majorHAnsi" w:hAnsiTheme="majorHAnsi" w:cstheme="majorHAnsi"/>
          <w:lang w:val="en-US"/>
        </w:rPr>
        <w:t xml:space="preserve"> resilience, competitiveness and skill</w:t>
      </w:r>
      <w:r w:rsidR="00936EFE">
        <w:rPr>
          <w:rFonts w:asciiTheme="majorHAnsi" w:hAnsiTheme="majorHAnsi" w:cstheme="majorHAnsi"/>
          <w:lang w:val="en-US"/>
        </w:rPr>
        <w:t>s</w:t>
      </w:r>
      <w:r w:rsidR="00A16F18" w:rsidRPr="00C44F0D">
        <w:rPr>
          <w:rFonts w:asciiTheme="majorHAnsi" w:hAnsiTheme="majorHAnsi" w:cstheme="majorHAnsi"/>
          <w:lang w:val="en-US"/>
        </w:rPr>
        <w:t>.</w:t>
      </w:r>
      <w:r w:rsidR="00936EFE">
        <w:rPr>
          <w:rFonts w:asciiTheme="majorHAnsi" w:hAnsiTheme="majorHAnsi" w:cstheme="majorHAnsi"/>
          <w:lang w:val="en-US"/>
        </w:rPr>
        <w:t xml:space="preserve"> </w:t>
      </w:r>
    </w:p>
    <w:p w14:paraId="5A42BD65" w14:textId="6D2A3161" w:rsidR="00E25F93" w:rsidRDefault="00936EFE" w:rsidP="00FE0611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ERMA</w:t>
      </w:r>
      <w:r w:rsidR="00A16F18" w:rsidRPr="00C44F0D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 xml:space="preserve">should be an effective public-private collaboration </w:t>
      </w:r>
      <w:r w:rsidR="00CA102C">
        <w:rPr>
          <w:rFonts w:asciiTheme="majorHAnsi" w:hAnsiTheme="majorHAnsi" w:cstheme="majorHAnsi"/>
          <w:lang w:val="en-US"/>
        </w:rPr>
        <w:t xml:space="preserve">platform, </w:t>
      </w:r>
      <w:r w:rsidR="00A56D45" w:rsidRPr="007D7EE3">
        <w:rPr>
          <w:rFonts w:asciiTheme="majorHAnsi" w:hAnsiTheme="majorHAnsi" w:cstheme="majorHAnsi"/>
          <w:lang w:val="en-US"/>
        </w:rPr>
        <w:t>involv</w:t>
      </w:r>
      <w:r w:rsidR="00A56D45">
        <w:rPr>
          <w:rFonts w:asciiTheme="majorHAnsi" w:hAnsiTheme="majorHAnsi" w:cstheme="majorHAnsi"/>
          <w:lang w:val="en-US"/>
        </w:rPr>
        <w:t>ing</w:t>
      </w:r>
      <w:r w:rsidR="00A56D45" w:rsidRPr="007D7EE3">
        <w:rPr>
          <w:rFonts w:asciiTheme="majorHAnsi" w:hAnsiTheme="majorHAnsi" w:cstheme="majorHAnsi"/>
          <w:lang w:val="en-US"/>
        </w:rPr>
        <w:t xml:space="preserve"> </w:t>
      </w:r>
      <w:r w:rsidR="00A56D45">
        <w:rPr>
          <w:rFonts w:asciiTheme="majorHAnsi" w:hAnsiTheme="majorHAnsi" w:cstheme="majorHAnsi"/>
          <w:lang w:val="en-US"/>
        </w:rPr>
        <w:t>those</w:t>
      </w:r>
      <w:r w:rsidR="00E25F93">
        <w:rPr>
          <w:rFonts w:asciiTheme="majorHAnsi" w:hAnsiTheme="majorHAnsi" w:cstheme="majorHAnsi"/>
          <w:lang w:val="en-US"/>
        </w:rPr>
        <w:t xml:space="preserve"> industries</w:t>
      </w:r>
      <w:r>
        <w:rPr>
          <w:rFonts w:asciiTheme="majorHAnsi" w:hAnsiTheme="majorHAnsi" w:cstheme="majorHAnsi"/>
          <w:lang w:val="en-US"/>
        </w:rPr>
        <w:t>, investors, researchers and innovators, Member States and regions, unions</w:t>
      </w:r>
      <w:r w:rsidR="00E25F93">
        <w:rPr>
          <w:rFonts w:asciiTheme="majorHAnsi" w:hAnsiTheme="majorHAnsi" w:cstheme="majorHAnsi"/>
          <w:lang w:val="en-US"/>
        </w:rPr>
        <w:t xml:space="preserve"> and</w:t>
      </w:r>
      <w:r>
        <w:rPr>
          <w:rFonts w:asciiTheme="majorHAnsi" w:hAnsiTheme="majorHAnsi" w:cstheme="majorHAnsi"/>
          <w:lang w:val="en-US"/>
        </w:rPr>
        <w:t xml:space="preserve"> civil society organi</w:t>
      </w:r>
      <w:r w:rsidR="00222F93">
        <w:rPr>
          <w:rFonts w:asciiTheme="majorHAnsi" w:hAnsiTheme="majorHAnsi" w:cstheme="majorHAnsi"/>
          <w:lang w:val="en-US"/>
        </w:rPr>
        <w:t>z</w:t>
      </w:r>
      <w:r>
        <w:rPr>
          <w:rFonts w:asciiTheme="majorHAnsi" w:hAnsiTheme="majorHAnsi" w:cstheme="majorHAnsi"/>
          <w:lang w:val="en-US"/>
        </w:rPr>
        <w:t xml:space="preserve">ations </w:t>
      </w:r>
      <w:r w:rsidR="00E25F93">
        <w:rPr>
          <w:rFonts w:asciiTheme="majorHAnsi" w:hAnsiTheme="majorHAnsi" w:cstheme="majorHAnsi"/>
          <w:lang w:val="en-US"/>
        </w:rPr>
        <w:t>that decide to become its</w:t>
      </w:r>
      <w:r w:rsidR="004273B5">
        <w:rPr>
          <w:rFonts w:asciiTheme="majorHAnsi" w:hAnsiTheme="majorHAnsi" w:cstheme="majorHAnsi"/>
          <w:lang w:val="en-US"/>
        </w:rPr>
        <w:t xml:space="preserve"> partner</w:t>
      </w:r>
      <w:r w:rsidR="00E25F93">
        <w:rPr>
          <w:rFonts w:asciiTheme="majorHAnsi" w:hAnsiTheme="majorHAnsi" w:cstheme="majorHAnsi"/>
          <w:lang w:val="en-US"/>
        </w:rPr>
        <w:t>s.</w:t>
      </w:r>
      <w:r>
        <w:rPr>
          <w:rFonts w:asciiTheme="majorHAnsi" w:hAnsiTheme="majorHAnsi" w:cstheme="majorHAnsi"/>
          <w:lang w:val="en-US"/>
        </w:rPr>
        <w:t xml:space="preserve"> </w:t>
      </w:r>
    </w:p>
    <w:p w14:paraId="467FF0BB" w14:textId="11A9FDB4" w:rsidR="0057558D" w:rsidRDefault="0057558D" w:rsidP="00FE0611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ajorHAnsi"/>
          <w:lang w:val="en-GB"/>
        </w:rPr>
      </w:pPr>
      <w:r w:rsidRPr="00C44F0D">
        <w:rPr>
          <w:rFonts w:asciiTheme="majorHAnsi" w:hAnsiTheme="majorHAnsi" w:cstheme="majorHAnsi"/>
          <w:lang w:val="en-GB"/>
        </w:rPr>
        <w:t>To join the alliance</w:t>
      </w:r>
      <w:r w:rsidR="00C44F0D">
        <w:rPr>
          <w:rFonts w:asciiTheme="majorHAnsi" w:hAnsiTheme="majorHAnsi" w:cstheme="majorHAnsi"/>
          <w:lang w:val="en-GB"/>
        </w:rPr>
        <w:t xml:space="preserve">, </w:t>
      </w:r>
      <w:r w:rsidR="004273B5">
        <w:rPr>
          <w:rFonts w:asciiTheme="majorHAnsi" w:hAnsiTheme="majorHAnsi" w:cstheme="majorHAnsi"/>
          <w:lang w:val="en-GB"/>
        </w:rPr>
        <w:t xml:space="preserve">please visit </w:t>
      </w:r>
      <w:hyperlink r:id="rId9" w:history="1">
        <w:r w:rsidR="004273B5" w:rsidRPr="006D0192">
          <w:rPr>
            <w:rStyle w:val="Hyperlink"/>
            <w:rFonts w:asciiTheme="majorHAnsi" w:hAnsiTheme="majorHAnsi" w:cstheme="majorHAnsi"/>
            <w:lang w:val="en-GB"/>
          </w:rPr>
          <w:t>erma.eu</w:t>
        </w:r>
      </w:hyperlink>
      <w:r w:rsidR="004273B5" w:rsidRPr="005306BF">
        <w:rPr>
          <w:rFonts w:asciiTheme="majorHAnsi" w:hAnsiTheme="majorHAnsi" w:cstheme="majorHAnsi"/>
          <w:color w:val="0070C0"/>
          <w:lang w:val="en-GB"/>
        </w:rPr>
        <w:t xml:space="preserve"> </w:t>
      </w:r>
      <w:r w:rsidR="004273B5">
        <w:rPr>
          <w:rFonts w:asciiTheme="majorHAnsi" w:hAnsiTheme="majorHAnsi" w:cstheme="majorHAnsi"/>
          <w:lang w:val="en-GB"/>
        </w:rPr>
        <w:t>and submit the online application</w:t>
      </w:r>
      <w:r w:rsidRPr="00C44F0D">
        <w:rPr>
          <w:rFonts w:asciiTheme="majorHAnsi" w:hAnsiTheme="majorHAnsi" w:cstheme="majorHAnsi"/>
          <w:lang w:val="en-GB"/>
        </w:rPr>
        <w:t>.</w:t>
      </w:r>
    </w:p>
    <w:p w14:paraId="10161CDF" w14:textId="67E3B951" w:rsidR="004273B5" w:rsidRPr="00FE0611" w:rsidRDefault="0057558D" w:rsidP="00FE0611">
      <w:pPr>
        <w:keepNext/>
        <w:keepLines/>
        <w:spacing w:before="40" w:after="120" w:line="240" w:lineRule="auto"/>
        <w:outlineLvl w:val="1"/>
        <w:rPr>
          <w:lang w:val="en-GB"/>
        </w:rPr>
      </w:pPr>
      <w:r w:rsidRPr="00FE061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en-GB"/>
        </w:rPr>
        <w:t>Contact</w:t>
      </w:r>
    </w:p>
    <w:p w14:paraId="6A28406F" w14:textId="6A990670" w:rsidR="0057558D" w:rsidRDefault="0057558D" w:rsidP="005306B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lang w:val="en-US"/>
        </w:rPr>
      </w:pPr>
      <w:r w:rsidRPr="005E0304">
        <w:rPr>
          <w:rFonts w:asciiTheme="majorHAnsi" w:hAnsiTheme="majorHAnsi" w:cstheme="majorHAnsi"/>
          <w:lang w:val="en-US"/>
        </w:rPr>
        <w:t>ERMA</w:t>
      </w:r>
    </w:p>
    <w:p w14:paraId="0B98E895" w14:textId="3A75AB2C" w:rsidR="006D0192" w:rsidRPr="006D0192" w:rsidRDefault="006D0192" w:rsidP="005306B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i/>
          <w:iCs/>
          <w:lang w:val="en-US"/>
        </w:rPr>
      </w:pPr>
      <w:r w:rsidRPr="006D0192">
        <w:rPr>
          <w:rFonts w:asciiTheme="majorHAnsi" w:hAnsiTheme="majorHAnsi" w:cstheme="majorHAnsi"/>
          <w:i/>
          <w:iCs/>
          <w:lang w:val="en-US"/>
        </w:rPr>
        <w:t>erma@eitrawmaterials.eu</w:t>
      </w:r>
    </w:p>
    <w:p w14:paraId="253CD1AB" w14:textId="77777777" w:rsidR="0057558D" w:rsidRPr="005E0304" w:rsidRDefault="0057558D" w:rsidP="005306B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lang w:val="en-US"/>
        </w:rPr>
      </w:pPr>
      <w:r w:rsidRPr="005E0304">
        <w:rPr>
          <w:rFonts w:asciiTheme="majorHAnsi" w:hAnsiTheme="majorHAnsi" w:cstheme="majorHAnsi"/>
          <w:lang w:val="en-US"/>
        </w:rPr>
        <w:t xml:space="preserve">EIT RawMaterials GmbH  </w:t>
      </w:r>
    </w:p>
    <w:p w14:paraId="294463D1" w14:textId="77777777" w:rsidR="0057558D" w:rsidRPr="005E0304" w:rsidRDefault="0057558D" w:rsidP="005306B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lang w:val="en-US"/>
        </w:rPr>
      </w:pPr>
      <w:r w:rsidRPr="005E0304">
        <w:rPr>
          <w:rFonts w:asciiTheme="majorHAnsi" w:hAnsiTheme="majorHAnsi" w:cstheme="majorHAnsi"/>
          <w:lang w:val="en-US"/>
        </w:rPr>
        <w:t xml:space="preserve">Tauentzienstr. 11 </w:t>
      </w:r>
    </w:p>
    <w:p w14:paraId="4489A29D" w14:textId="4176B02B" w:rsidR="005638F3" w:rsidRPr="005E0304" w:rsidRDefault="0057558D" w:rsidP="005306B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lang w:val="en-US"/>
        </w:rPr>
      </w:pPr>
      <w:r w:rsidRPr="005E0304">
        <w:rPr>
          <w:rFonts w:asciiTheme="majorHAnsi" w:hAnsiTheme="majorHAnsi" w:cstheme="majorHAnsi"/>
          <w:lang w:val="en-US"/>
        </w:rPr>
        <w:t>10789 Berlin</w:t>
      </w:r>
      <w:r w:rsidR="006D0192">
        <w:rPr>
          <w:rFonts w:asciiTheme="majorHAnsi" w:hAnsiTheme="majorHAnsi" w:cstheme="majorHAnsi"/>
          <w:lang w:val="en-US"/>
        </w:rPr>
        <w:t>,</w:t>
      </w:r>
      <w:r w:rsidRPr="005E0304">
        <w:rPr>
          <w:rFonts w:asciiTheme="majorHAnsi" w:hAnsiTheme="majorHAnsi" w:cstheme="majorHAnsi"/>
          <w:lang w:val="en-US"/>
        </w:rPr>
        <w:t xml:space="preserve"> Germany</w:t>
      </w:r>
    </w:p>
    <w:sectPr w:rsidR="005638F3" w:rsidRPr="005E0304" w:rsidSect="00EF45A8">
      <w:headerReference w:type="default" r:id="rId10"/>
      <w:footerReference w:type="default" r:id="rId11"/>
      <w:pgSz w:w="11906" w:h="16838"/>
      <w:pgMar w:top="3504" w:right="1417" w:bottom="1134" w:left="1417" w:header="1895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E66393" w14:textId="77777777" w:rsidR="00F8689C" w:rsidRDefault="00F8689C" w:rsidP="000331D8">
      <w:pPr>
        <w:spacing w:after="0" w:line="240" w:lineRule="auto"/>
      </w:pPr>
      <w:r>
        <w:separator/>
      </w:r>
    </w:p>
  </w:endnote>
  <w:endnote w:type="continuationSeparator" w:id="0">
    <w:p w14:paraId="472036DB" w14:textId="77777777" w:rsidR="00F8689C" w:rsidRDefault="00F8689C" w:rsidP="00033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F08B4" w14:textId="418F298A" w:rsidR="00EF45A8" w:rsidRPr="00EF45A8" w:rsidRDefault="00EF45A8" w:rsidP="00EF45A8">
    <w:pPr>
      <w:pStyle w:val="Footer"/>
      <w:jc w:val="right"/>
      <w:rPr>
        <w:rFonts w:asciiTheme="majorHAnsi" w:hAnsiTheme="majorHAnsi" w:cstheme="majorHAnsi"/>
        <w:sz w:val="20"/>
        <w:szCs w:val="20"/>
      </w:rPr>
    </w:pPr>
    <w:r w:rsidRPr="00EF45A8">
      <w:rPr>
        <w:rFonts w:asciiTheme="majorHAnsi" w:hAnsiTheme="majorHAnsi" w:cstheme="majorHAnsi"/>
        <w:sz w:val="20"/>
        <w:szCs w:val="20"/>
      </w:rPr>
      <w:t>erma.eu</w:t>
    </w:r>
  </w:p>
  <w:p w14:paraId="6334147D" w14:textId="77777777" w:rsidR="00DE434C" w:rsidRDefault="00DE4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F956D0" w14:textId="77777777" w:rsidR="00F8689C" w:rsidRDefault="00F8689C" w:rsidP="000331D8">
      <w:pPr>
        <w:spacing w:after="0" w:line="240" w:lineRule="auto"/>
      </w:pPr>
      <w:r>
        <w:separator/>
      </w:r>
    </w:p>
  </w:footnote>
  <w:footnote w:type="continuationSeparator" w:id="0">
    <w:p w14:paraId="69980D6A" w14:textId="77777777" w:rsidR="00F8689C" w:rsidRDefault="00F8689C" w:rsidP="000331D8">
      <w:pPr>
        <w:spacing w:after="0" w:line="240" w:lineRule="auto"/>
      </w:pPr>
      <w:r>
        <w:continuationSeparator/>
      </w:r>
    </w:p>
  </w:footnote>
  <w:footnote w:id="1">
    <w:p w14:paraId="28E366D7" w14:textId="77777777" w:rsidR="00CA102C" w:rsidRPr="00CA102C" w:rsidRDefault="00CA102C" w:rsidP="00CA102C">
      <w:pPr>
        <w:pStyle w:val="FootnoteText"/>
        <w:rPr>
          <w:sz w:val="18"/>
          <w:szCs w:val="18"/>
          <w:lang w:val="en-GB"/>
        </w:rPr>
      </w:pPr>
      <w:r w:rsidRPr="00CA102C">
        <w:rPr>
          <w:rStyle w:val="FootnoteReference"/>
          <w:sz w:val="18"/>
          <w:szCs w:val="18"/>
        </w:rPr>
        <w:footnoteRef/>
      </w:r>
      <w:r w:rsidRPr="00CA102C">
        <w:rPr>
          <w:sz w:val="18"/>
          <w:szCs w:val="18"/>
        </w:rPr>
        <w:t xml:space="preserve"> https://ec.europa.eu/growth/sectors/raw-materials/eip_en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04E8F" w14:textId="77777777" w:rsidR="000331D8" w:rsidRPr="007D7EE3" w:rsidRDefault="007D7EE3" w:rsidP="007D7EE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EEB8CF0" wp14:editId="7D8A83F6">
          <wp:simplePos x="0" y="0"/>
          <wp:positionH relativeFrom="column">
            <wp:posOffset>-930275</wp:posOffset>
          </wp:positionH>
          <wp:positionV relativeFrom="paragraph">
            <wp:posOffset>-1195705</wp:posOffset>
          </wp:positionV>
          <wp:extent cx="7559675" cy="2159915"/>
          <wp:effectExtent l="0" t="0" r="0" b="0"/>
          <wp:wrapNone/>
          <wp:docPr id="3" name="Picture 3" descr="A picture containing devi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evi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80" cy="21622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C679B"/>
    <w:multiLevelType w:val="hybridMultilevel"/>
    <w:tmpl w:val="62E6A118"/>
    <w:lvl w:ilvl="0" w:tplc="E3BE7EC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45502"/>
    <w:multiLevelType w:val="hybridMultilevel"/>
    <w:tmpl w:val="FCC6C2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11A05"/>
    <w:multiLevelType w:val="hybridMultilevel"/>
    <w:tmpl w:val="E124B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D3BD1"/>
    <w:multiLevelType w:val="hybridMultilevel"/>
    <w:tmpl w:val="FAD8E3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F06E1E"/>
    <w:multiLevelType w:val="hybridMultilevel"/>
    <w:tmpl w:val="87C4EE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50C473B"/>
    <w:multiLevelType w:val="hybridMultilevel"/>
    <w:tmpl w:val="D8B29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721976"/>
    <w:multiLevelType w:val="hybridMultilevel"/>
    <w:tmpl w:val="E01C1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645CF2"/>
    <w:multiLevelType w:val="hybridMultilevel"/>
    <w:tmpl w:val="F9EEAF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FCE5FCB"/>
    <w:multiLevelType w:val="hybridMultilevel"/>
    <w:tmpl w:val="7A98A59C"/>
    <w:lvl w:ilvl="0" w:tplc="08090001">
      <w:start w:val="1"/>
      <w:numFmt w:val="bullet"/>
      <w:lvlText w:val=""/>
      <w:lvlJc w:val="left"/>
      <w:pPr>
        <w:ind w:left="1625" w:hanging="70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9">
    <w:nsid w:val="58F04106"/>
    <w:multiLevelType w:val="hybridMultilevel"/>
    <w:tmpl w:val="3B16436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CF26867"/>
    <w:multiLevelType w:val="hybridMultilevel"/>
    <w:tmpl w:val="07CC8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0169AC"/>
    <w:multiLevelType w:val="hybridMultilevel"/>
    <w:tmpl w:val="F43058FC"/>
    <w:lvl w:ilvl="0" w:tplc="AEB62FD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68C5636"/>
    <w:multiLevelType w:val="hybridMultilevel"/>
    <w:tmpl w:val="0EF4FB56"/>
    <w:lvl w:ilvl="0" w:tplc="2A0205A0">
      <w:numFmt w:val="bullet"/>
      <w:lvlText w:val="•"/>
      <w:lvlJc w:val="left"/>
      <w:pPr>
        <w:ind w:left="1065" w:hanging="705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286E0F"/>
    <w:multiLevelType w:val="hybridMultilevel"/>
    <w:tmpl w:val="2CE253F8"/>
    <w:lvl w:ilvl="0" w:tplc="DBC81F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9"/>
  </w:num>
  <w:num w:numId="5">
    <w:abstractNumId w:val="4"/>
  </w:num>
  <w:num w:numId="6">
    <w:abstractNumId w:val="6"/>
  </w:num>
  <w:num w:numId="7">
    <w:abstractNumId w:val="12"/>
  </w:num>
  <w:num w:numId="8">
    <w:abstractNumId w:val="8"/>
  </w:num>
  <w:num w:numId="9">
    <w:abstractNumId w:val="5"/>
  </w:num>
  <w:num w:numId="10">
    <w:abstractNumId w:val="3"/>
  </w:num>
  <w:num w:numId="11">
    <w:abstractNumId w:val="2"/>
  </w:num>
  <w:num w:numId="12">
    <w:abstractNumId w:val="11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681"/>
    <w:rsid w:val="00010A8D"/>
    <w:rsid w:val="000143DC"/>
    <w:rsid w:val="00024461"/>
    <w:rsid w:val="000331D8"/>
    <w:rsid w:val="0006199E"/>
    <w:rsid w:val="00086198"/>
    <w:rsid w:val="000965D8"/>
    <w:rsid w:val="000C48E2"/>
    <w:rsid w:val="000C4E72"/>
    <w:rsid w:val="000C6188"/>
    <w:rsid w:val="000D4741"/>
    <w:rsid w:val="000E458B"/>
    <w:rsid w:val="000F3CEA"/>
    <w:rsid w:val="00103372"/>
    <w:rsid w:val="001159B4"/>
    <w:rsid w:val="001231FD"/>
    <w:rsid w:val="0013036C"/>
    <w:rsid w:val="00132F09"/>
    <w:rsid w:val="00132FD7"/>
    <w:rsid w:val="00153C97"/>
    <w:rsid w:val="00164972"/>
    <w:rsid w:val="0017594D"/>
    <w:rsid w:val="00196AC7"/>
    <w:rsid w:val="001B3F66"/>
    <w:rsid w:val="001C1BC8"/>
    <w:rsid w:val="001C7FFC"/>
    <w:rsid w:val="001E4EAA"/>
    <w:rsid w:val="002056A1"/>
    <w:rsid w:val="00222F93"/>
    <w:rsid w:val="002257D9"/>
    <w:rsid w:val="0023497B"/>
    <w:rsid w:val="0023678B"/>
    <w:rsid w:val="00254CE4"/>
    <w:rsid w:val="00257A58"/>
    <w:rsid w:val="00266AA0"/>
    <w:rsid w:val="00287759"/>
    <w:rsid w:val="002C24E8"/>
    <w:rsid w:val="002E1DCC"/>
    <w:rsid w:val="002F26E0"/>
    <w:rsid w:val="002F5399"/>
    <w:rsid w:val="00305681"/>
    <w:rsid w:val="003274FE"/>
    <w:rsid w:val="003735E0"/>
    <w:rsid w:val="00377D6F"/>
    <w:rsid w:val="003B4741"/>
    <w:rsid w:val="003C12E4"/>
    <w:rsid w:val="003F3B99"/>
    <w:rsid w:val="0040318C"/>
    <w:rsid w:val="0042069C"/>
    <w:rsid w:val="00426F0F"/>
    <w:rsid w:val="004273B5"/>
    <w:rsid w:val="00427480"/>
    <w:rsid w:val="00432964"/>
    <w:rsid w:val="00440F22"/>
    <w:rsid w:val="00442420"/>
    <w:rsid w:val="0044676A"/>
    <w:rsid w:val="00454077"/>
    <w:rsid w:val="00461A30"/>
    <w:rsid w:val="004653E0"/>
    <w:rsid w:val="0046733B"/>
    <w:rsid w:val="00474903"/>
    <w:rsid w:val="00481878"/>
    <w:rsid w:val="00492874"/>
    <w:rsid w:val="004C354A"/>
    <w:rsid w:val="004D0425"/>
    <w:rsid w:val="004D5A15"/>
    <w:rsid w:val="0051132F"/>
    <w:rsid w:val="00520C14"/>
    <w:rsid w:val="00524447"/>
    <w:rsid w:val="00526DA6"/>
    <w:rsid w:val="005306BF"/>
    <w:rsid w:val="00532299"/>
    <w:rsid w:val="00535561"/>
    <w:rsid w:val="00544192"/>
    <w:rsid w:val="005602A3"/>
    <w:rsid w:val="00560EA1"/>
    <w:rsid w:val="005638F3"/>
    <w:rsid w:val="0057558D"/>
    <w:rsid w:val="0057601B"/>
    <w:rsid w:val="00585926"/>
    <w:rsid w:val="005C5000"/>
    <w:rsid w:val="005C6DD6"/>
    <w:rsid w:val="005C7A8B"/>
    <w:rsid w:val="005D649B"/>
    <w:rsid w:val="005E0304"/>
    <w:rsid w:val="005E422D"/>
    <w:rsid w:val="005E618E"/>
    <w:rsid w:val="00614A8A"/>
    <w:rsid w:val="00621E14"/>
    <w:rsid w:val="00635F7D"/>
    <w:rsid w:val="00636665"/>
    <w:rsid w:val="0064116B"/>
    <w:rsid w:val="0067614F"/>
    <w:rsid w:val="00677246"/>
    <w:rsid w:val="0068198F"/>
    <w:rsid w:val="0068727D"/>
    <w:rsid w:val="00694E0E"/>
    <w:rsid w:val="0069648F"/>
    <w:rsid w:val="006B58BF"/>
    <w:rsid w:val="006D0192"/>
    <w:rsid w:val="006D6839"/>
    <w:rsid w:val="0070771F"/>
    <w:rsid w:val="0071495D"/>
    <w:rsid w:val="007156E3"/>
    <w:rsid w:val="00716A1D"/>
    <w:rsid w:val="00727C35"/>
    <w:rsid w:val="007319C1"/>
    <w:rsid w:val="00734A02"/>
    <w:rsid w:val="00735639"/>
    <w:rsid w:val="007430EF"/>
    <w:rsid w:val="007456E1"/>
    <w:rsid w:val="00752847"/>
    <w:rsid w:val="00775519"/>
    <w:rsid w:val="007A2890"/>
    <w:rsid w:val="007B0C66"/>
    <w:rsid w:val="007C27B7"/>
    <w:rsid w:val="007D1BD2"/>
    <w:rsid w:val="007D7EE3"/>
    <w:rsid w:val="007E0F14"/>
    <w:rsid w:val="007E3601"/>
    <w:rsid w:val="007E4D26"/>
    <w:rsid w:val="007F5A58"/>
    <w:rsid w:val="007F5EF6"/>
    <w:rsid w:val="00806C7E"/>
    <w:rsid w:val="008203E5"/>
    <w:rsid w:val="00835797"/>
    <w:rsid w:val="00856D7C"/>
    <w:rsid w:val="00867E49"/>
    <w:rsid w:val="0088560F"/>
    <w:rsid w:val="00886C52"/>
    <w:rsid w:val="00895877"/>
    <w:rsid w:val="00897594"/>
    <w:rsid w:val="008A0784"/>
    <w:rsid w:val="008A5B61"/>
    <w:rsid w:val="008D3FD1"/>
    <w:rsid w:val="008E0FA6"/>
    <w:rsid w:val="008E73DC"/>
    <w:rsid w:val="008F0FBA"/>
    <w:rsid w:val="008F3F9B"/>
    <w:rsid w:val="0092735C"/>
    <w:rsid w:val="00936EFE"/>
    <w:rsid w:val="00941895"/>
    <w:rsid w:val="009507DA"/>
    <w:rsid w:val="00953F9A"/>
    <w:rsid w:val="00967380"/>
    <w:rsid w:val="009734E2"/>
    <w:rsid w:val="00980567"/>
    <w:rsid w:val="00982D03"/>
    <w:rsid w:val="009D0779"/>
    <w:rsid w:val="009D0EEE"/>
    <w:rsid w:val="009D2365"/>
    <w:rsid w:val="009E4032"/>
    <w:rsid w:val="009F00FF"/>
    <w:rsid w:val="009F07D9"/>
    <w:rsid w:val="009F32DD"/>
    <w:rsid w:val="009F6A03"/>
    <w:rsid w:val="00A01E41"/>
    <w:rsid w:val="00A03FEE"/>
    <w:rsid w:val="00A069D0"/>
    <w:rsid w:val="00A14253"/>
    <w:rsid w:val="00A16F18"/>
    <w:rsid w:val="00A2071B"/>
    <w:rsid w:val="00A30309"/>
    <w:rsid w:val="00A34122"/>
    <w:rsid w:val="00A40F99"/>
    <w:rsid w:val="00A45D55"/>
    <w:rsid w:val="00A56D45"/>
    <w:rsid w:val="00A5720A"/>
    <w:rsid w:val="00A64303"/>
    <w:rsid w:val="00A65F2F"/>
    <w:rsid w:val="00A662E9"/>
    <w:rsid w:val="00A7733E"/>
    <w:rsid w:val="00AD063F"/>
    <w:rsid w:val="00AF01E3"/>
    <w:rsid w:val="00B04CDB"/>
    <w:rsid w:val="00B10C69"/>
    <w:rsid w:val="00B30808"/>
    <w:rsid w:val="00B71C06"/>
    <w:rsid w:val="00B76D90"/>
    <w:rsid w:val="00B80AC6"/>
    <w:rsid w:val="00BA3080"/>
    <w:rsid w:val="00BB5907"/>
    <w:rsid w:val="00BC64C0"/>
    <w:rsid w:val="00BD00B7"/>
    <w:rsid w:val="00BE2B1B"/>
    <w:rsid w:val="00BE6CB5"/>
    <w:rsid w:val="00C0582F"/>
    <w:rsid w:val="00C105CF"/>
    <w:rsid w:val="00C12649"/>
    <w:rsid w:val="00C44F0D"/>
    <w:rsid w:val="00C460B1"/>
    <w:rsid w:val="00C533AF"/>
    <w:rsid w:val="00C544F1"/>
    <w:rsid w:val="00C661EE"/>
    <w:rsid w:val="00C7726F"/>
    <w:rsid w:val="00CA102C"/>
    <w:rsid w:val="00CB79E8"/>
    <w:rsid w:val="00CC05BD"/>
    <w:rsid w:val="00CC4BC4"/>
    <w:rsid w:val="00CC7882"/>
    <w:rsid w:val="00CD2FED"/>
    <w:rsid w:val="00CD42FC"/>
    <w:rsid w:val="00CD7E9D"/>
    <w:rsid w:val="00CF032A"/>
    <w:rsid w:val="00CF366A"/>
    <w:rsid w:val="00CF49EB"/>
    <w:rsid w:val="00CF75C6"/>
    <w:rsid w:val="00CF7F93"/>
    <w:rsid w:val="00D2409E"/>
    <w:rsid w:val="00D3499D"/>
    <w:rsid w:val="00D51721"/>
    <w:rsid w:val="00D55531"/>
    <w:rsid w:val="00D56B11"/>
    <w:rsid w:val="00D713E7"/>
    <w:rsid w:val="00D77B38"/>
    <w:rsid w:val="00DB0DD5"/>
    <w:rsid w:val="00DC057B"/>
    <w:rsid w:val="00DE0091"/>
    <w:rsid w:val="00DE434C"/>
    <w:rsid w:val="00DF0A75"/>
    <w:rsid w:val="00DF6B05"/>
    <w:rsid w:val="00E07F87"/>
    <w:rsid w:val="00E17166"/>
    <w:rsid w:val="00E25F93"/>
    <w:rsid w:val="00E27D76"/>
    <w:rsid w:val="00E46962"/>
    <w:rsid w:val="00E55C0E"/>
    <w:rsid w:val="00E7125F"/>
    <w:rsid w:val="00E773F7"/>
    <w:rsid w:val="00E774FD"/>
    <w:rsid w:val="00EA7A9F"/>
    <w:rsid w:val="00EC1B58"/>
    <w:rsid w:val="00ED32F9"/>
    <w:rsid w:val="00EE2E4F"/>
    <w:rsid w:val="00EF45A8"/>
    <w:rsid w:val="00EF7D9C"/>
    <w:rsid w:val="00F03956"/>
    <w:rsid w:val="00F141B3"/>
    <w:rsid w:val="00F20FAA"/>
    <w:rsid w:val="00F42039"/>
    <w:rsid w:val="00F51CA9"/>
    <w:rsid w:val="00F5393F"/>
    <w:rsid w:val="00F60587"/>
    <w:rsid w:val="00F61C91"/>
    <w:rsid w:val="00F627BA"/>
    <w:rsid w:val="00F84FF5"/>
    <w:rsid w:val="00F8689C"/>
    <w:rsid w:val="00FA0200"/>
    <w:rsid w:val="00FA7B65"/>
    <w:rsid w:val="00FB0F73"/>
    <w:rsid w:val="00FB7A8C"/>
    <w:rsid w:val="00FC52C3"/>
    <w:rsid w:val="00FC7DC3"/>
    <w:rsid w:val="00FE0611"/>
    <w:rsid w:val="00FF2A32"/>
    <w:rsid w:val="00FF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930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A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0A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ufzählung"/>
    <w:basedOn w:val="Normal"/>
    <w:uiPriority w:val="34"/>
    <w:qFormat/>
    <w:rsid w:val="00694E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1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E4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01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E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E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E4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33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1D8"/>
  </w:style>
  <w:style w:type="paragraph" w:styleId="Footer">
    <w:name w:val="footer"/>
    <w:basedOn w:val="Normal"/>
    <w:link w:val="FooterChar"/>
    <w:uiPriority w:val="99"/>
    <w:unhideWhenUsed/>
    <w:rsid w:val="00033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1D8"/>
  </w:style>
  <w:style w:type="character" w:styleId="Hyperlink">
    <w:name w:val="Hyperlink"/>
    <w:basedOn w:val="DefaultParagraphFont"/>
    <w:uiPriority w:val="99"/>
    <w:unhideWhenUsed/>
    <w:rsid w:val="0064116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F0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B80A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0A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49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5B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5B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5B61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019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A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0A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ufzählung"/>
    <w:basedOn w:val="Normal"/>
    <w:uiPriority w:val="34"/>
    <w:qFormat/>
    <w:rsid w:val="00694E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1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E4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01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E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E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E4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33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1D8"/>
  </w:style>
  <w:style w:type="paragraph" w:styleId="Footer">
    <w:name w:val="footer"/>
    <w:basedOn w:val="Normal"/>
    <w:link w:val="FooterChar"/>
    <w:uiPriority w:val="99"/>
    <w:unhideWhenUsed/>
    <w:rsid w:val="00033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1D8"/>
  </w:style>
  <w:style w:type="character" w:styleId="Hyperlink">
    <w:name w:val="Hyperlink"/>
    <w:basedOn w:val="DefaultParagraphFont"/>
    <w:uiPriority w:val="99"/>
    <w:unhideWhenUsed/>
    <w:rsid w:val="0064116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F0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B80A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0A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49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5B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5B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5B61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0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rma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303D5-2CB5-434F-9436-8795EA9DB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2020-09-30T05:52:00Z</dcterms:created>
  <dcterms:modified xsi:type="dcterms:W3CDTF">2020-09-30T05:52:00Z</dcterms:modified>
</cp:coreProperties>
</file>