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B12F0" w14:textId="7AE44DA8" w:rsidR="00AA596A" w:rsidRPr="00AA596A" w:rsidRDefault="00AA596A" w:rsidP="00AA596A"/>
    <w:p w14:paraId="546D60B1" w14:textId="77777777" w:rsidR="00AA596A" w:rsidRPr="00FD3079" w:rsidRDefault="00AA596A" w:rsidP="00AA596A">
      <w:pPr>
        <w:pStyle w:val="Rfrenceinterinstitutionnelle"/>
        <w:rPr>
          <w:noProof/>
        </w:rPr>
      </w:pPr>
      <w:r w:rsidRPr="00FD3079">
        <w:t>2023/0368 (COD)</w:t>
      </w:r>
    </w:p>
    <w:p w14:paraId="03233BA6" w14:textId="77777777" w:rsidR="00AA596A" w:rsidRPr="00FD3079" w:rsidRDefault="00AA596A" w:rsidP="00AA596A">
      <w:pPr>
        <w:pStyle w:val="Statut"/>
        <w:rPr>
          <w:noProof/>
        </w:rPr>
      </w:pPr>
      <w:r w:rsidRPr="00FD3079">
        <w:rPr>
          <w:noProof/>
        </w:rPr>
        <w:t>Proposal for a</w:t>
      </w:r>
    </w:p>
    <w:p w14:paraId="79B3FE82" w14:textId="77777777" w:rsidR="00AA596A" w:rsidRPr="00A9097A" w:rsidRDefault="00AA596A" w:rsidP="00AA596A">
      <w:pPr>
        <w:pStyle w:val="Typedudocument"/>
        <w:rPr>
          <w:noProof/>
        </w:rPr>
      </w:pPr>
      <w:r w:rsidRPr="00803563">
        <w:rPr>
          <w:strike/>
          <w:noProof/>
        </w:rPr>
        <w:t xml:space="preserve">DECISION </w:t>
      </w:r>
      <w:r w:rsidRPr="00803563">
        <w:rPr>
          <w:noProof/>
          <w:u w:val="single"/>
        </w:rPr>
        <w:t>DIRECTIVE</w:t>
      </w:r>
      <w:r w:rsidRPr="00351B62">
        <w:rPr>
          <w:noProof/>
        </w:rPr>
        <w:t xml:space="preserve"> </w:t>
      </w:r>
      <w:r w:rsidRPr="00C81935">
        <w:rPr>
          <w:noProof/>
        </w:rPr>
        <w:t>OF THE EUROPEAN PARLIAMENT AND OF THE COUNCIL</w:t>
      </w:r>
    </w:p>
    <w:p w14:paraId="0937ABB5" w14:textId="77777777" w:rsidR="00AA596A" w:rsidRPr="00A9097A" w:rsidRDefault="00AA596A" w:rsidP="00AA596A">
      <w:pPr>
        <w:pStyle w:val="Titreobjet"/>
        <w:rPr>
          <w:noProof/>
        </w:rPr>
      </w:pPr>
      <w:r w:rsidRPr="00C81935">
        <w:rPr>
          <w:noProof/>
        </w:rPr>
        <w:t>amending Directive 2013/34/EU as regards the time limits for the adoption of sustainability reporting standards for certain sectors and for certain third-country undertakings</w:t>
      </w:r>
    </w:p>
    <w:p w14:paraId="37C2E724" w14:textId="77777777" w:rsidR="00AA596A" w:rsidRPr="00C81935" w:rsidRDefault="00AA596A" w:rsidP="00AA596A">
      <w:pPr>
        <w:pStyle w:val="IntrtEEE"/>
        <w:rPr>
          <w:noProof/>
        </w:rPr>
      </w:pPr>
      <w:r w:rsidRPr="00C81935">
        <w:rPr>
          <w:noProof/>
        </w:rPr>
        <w:t>(Text with EEA relevance)</w:t>
      </w:r>
    </w:p>
    <w:p w14:paraId="4B2A263F" w14:textId="77777777" w:rsidR="00AA596A" w:rsidRPr="00A9097A" w:rsidRDefault="00AA596A" w:rsidP="00AA596A">
      <w:pPr>
        <w:pStyle w:val="Institutionquiagit"/>
        <w:rPr>
          <w:noProof/>
        </w:rPr>
      </w:pPr>
      <w:r w:rsidRPr="00A9097A">
        <w:rPr>
          <w:noProof/>
        </w:rPr>
        <w:t>THE EUROPEAN PARLIAMENT AND THE COUNCIL OF THE EUROPEAN UNION,</w:t>
      </w:r>
    </w:p>
    <w:p w14:paraId="2B0A1462" w14:textId="77777777" w:rsidR="00AA596A" w:rsidRPr="00A9097A" w:rsidRDefault="00AA596A" w:rsidP="00AA596A">
      <w:pPr>
        <w:rPr>
          <w:noProof/>
        </w:rPr>
      </w:pPr>
      <w:r w:rsidRPr="00A9097A">
        <w:rPr>
          <w:noProof/>
        </w:rPr>
        <w:t>Having regard to the Treaty on the Functioning of the European Union, and in particular Article</w:t>
      </w:r>
      <w:r>
        <w:rPr>
          <w:noProof/>
        </w:rPr>
        <w:t xml:space="preserve"> 50(1)</w:t>
      </w:r>
      <w:r w:rsidRPr="00A9097A">
        <w:rPr>
          <w:noProof/>
        </w:rPr>
        <w:t xml:space="preserve"> thereof,</w:t>
      </w:r>
    </w:p>
    <w:p w14:paraId="3CBCB0BE" w14:textId="77777777" w:rsidR="00AA596A" w:rsidRPr="00A9097A" w:rsidRDefault="00AA596A" w:rsidP="00AA596A">
      <w:pPr>
        <w:rPr>
          <w:noProof/>
        </w:rPr>
      </w:pPr>
      <w:r w:rsidRPr="00A9097A">
        <w:rPr>
          <w:noProof/>
        </w:rPr>
        <w:t>Having regard to the proposal from the European Commission,</w:t>
      </w:r>
    </w:p>
    <w:p w14:paraId="2DD54B42" w14:textId="77777777" w:rsidR="00AA596A" w:rsidRPr="00A9097A" w:rsidRDefault="00AA596A" w:rsidP="00AA596A">
      <w:pPr>
        <w:rPr>
          <w:noProof/>
        </w:rPr>
      </w:pPr>
      <w:r w:rsidRPr="00A9097A">
        <w:rPr>
          <w:noProof/>
        </w:rPr>
        <w:t xml:space="preserve">After transmission of the draft legislative act to the national </w:t>
      </w:r>
      <w:r>
        <w:rPr>
          <w:noProof/>
        </w:rPr>
        <w:t>p</w:t>
      </w:r>
      <w:r w:rsidRPr="00A9097A">
        <w:rPr>
          <w:noProof/>
        </w:rPr>
        <w:t>arliaments,</w:t>
      </w:r>
    </w:p>
    <w:p w14:paraId="6AB4DB78" w14:textId="77777777" w:rsidR="00AA596A" w:rsidRPr="002D51A5" w:rsidRDefault="00AA596A" w:rsidP="00AA596A">
      <w:pPr>
        <w:rPr>
          <w:noProof/>
          <w:color w:val="008000"/>
        </w:rPr>
      </w:pPr>
      <w:r w:rsidRPr="002D51A5">
        <w:rPr>
          <w:noProof/>
        </w:rPr>
        <w:t>Having regard to the opinion of the European Economic and Social Committee</w:t>
      </w:r>
      <w:r w:rsidRPr="00B671DF">
        <w:rPr>
          <w:rStyle w:val="FootnoteReference"/>
          <w:noProof/>
        </w:rPr>
        <w:footnoteReference w:id="1"/>
      </w:r>
      <w:r w:rsidRPr="002D51A5">
        <w:rPr>
          <w:noProof/>
        </w:rPr>
        <w:t xml:space="preserve">, </w:t>
      </w:r>
    </w:p>
    <w:p w14:paraId="37548926" w14:textId="77777777" w:rsidR="00AA596A" w:rsidRPr="00A9097A" w:rsidRDefault="00AA596A" w:rsidP="00AA596A">
      <w:pPr>
        <w:rPr>
          <w:noProof/>
        </w:rPr>
      </w:pPr>
      <w:r w:rsidRPr="00A9097A">
        <w:rPr>
          <w:noProof/>
        </w:rPr>
        <w:t>Acting in accordance with the ordinary legislative procedure,</w:t>
      </w:r>
    </w:p>
    <w:p w14:paraId="411E48A0" w14:textId="77777777" w:rsidR="00AA596A" w:rsidRPr="00A9097A" w:rsidRDefault="00AA596A" w:rsidP="00AA596A">
      <w:pPr>
        <w:rPr>
          <w:noProof/>
        </w:rPr>
      </w:pPr>
      <w:r w:rsidRPr="00A9097A">
        <w:rPr>
          <w:noProof/>
        </w:rPr>
        <w:t>Whereas:</w:t>
      </w:r>
    </w:p>
    <w:p w14:paraId="15E1A567" w14:textId="77777777" w:rsidR="008A354A" w:rsidRDefault="00AA596A" w:rsidP="009A627D">
      <w:pPr>
        <w:pStyle w:val="PointManual"/>
        <w:jc w:val="both"/>
        <w:rPr>
          <w:noProof/>
        </w:rPr>
      </w:pPr>
      <w:r w:rsidRPr="004076B5">
        <w:t>(1)</w:t>
      </w:r>
      <w:r w:rsidRPr="004076B5">
        <w:tab/>
      </w:r>
      <w:r w:rsidRPr="00DC4465">
        <w:rPr>
          <w:noProof/>
        </w:rPr>
        <w:t>Sustainability reporting requirements play a key role in ensuring market transparency and in ensuring that undertakings are accountable for their impacts on people and the environment. However, it is important to streamline those requirements, in order to ensure that they fulfil the purpose for which they were intended and to limit the administrative burden.</w:t>
      </w:r>
    </w:p>
    <w:p w14:paraId="41D50974" w14:textId="0C932881" w:rsidR="00AA596A" w:rsidRPr="00DC4465" w:rsidRDefault="008A354A" w:rsidP="008A354A">
      <w:pPr>
        <w:rPr>
          <w:noProof/>
        </w:rPr>
      </w:pPr>
      <w:r>
        <w:rPr>
          <w:noProof/>
        </w:rPr>
        <w:br w:type="page"/>
      </w:r>
      <w:r w:rsidR="00AA596A" w:rsidRPr="00DC4465">
        <w:rPr>
          <w:noProof/>
        </w:rPr>
        <w:lastRenderedPageBreak/>
        <w:t xml:space="preserve"> </w:t>
      </w:r>
    </w:p>
    <w:p w14:paraId="24D86D20" w14:textId="77777777" w:rsidR="00AA596A" w:rsidRDefault="00AA596A" w:rsidP="009A627D">
      <w:pPr>
        <w:pStyle w:val="PointManual"/>
        <w:jc w:val="both"/>
        <w:rPr>
          <w:noProof/>
        </w:rPr>
      </w:pPr>
      <w:r w:rsidRPr="004076B5">
        <w:t>(2)</w:t>
      </w:r>
      <w:r w:rsidRPr="004076B5">
        <w:tab/>
      </w:r>
      <w:r w:rsidRPr="00DC4465">
        <w:rPr>
          <w:noProof/>
        </w:rPr>
        <w:t>Article 29b(1), third subparagraph, of Directive 2013/34/EU of the European Parliament and of the Council</w:t>
      </w:r>
      <w:r w:rsidRPr="00DC4465">
        <w:rPr>
          <w:rStyle w:val="FootnoteReference"/>
          <w:noProof/>
        </w:rPr>
        <w:footnoteReference w:id="2"/>
      </w:r>
      <w:r w:rsidRPr="00DC4465">
        <w:rPr>
          <w:noProof/>
        </w:rPr>
        <w:t xml:space="preserve"> requires the Commission to provide for sustainability reporting standards by means of delegated acts by 30 June 2024 specifying the information that undertakings are to report with regard to sustainability matters and the reporting areas specific to the sector in which an undertaking operates, in addition to the information that undertakings are already </w:t>
      </w:r>
      <w:r w:rsidRPr="00803563">
        <w:rPr>
          <w:b/>
          <w:noProof/>
          <w:u w:val="single"/>
        </w:rPr>
        <w:t>required</w:t>
      </w:r>
      <w:r w:rsidRPr="00351B62">
        <w:rPr>
          <w:b/>
          <w:noProof/>
        </w:rPr>
        <w:t xml:space="preserve"> </w:t>
      </w:r>
      <w:r w:rsidRPr="00DC4465">
        <w:rPr>
          <w:noProof/>
        </w:rPr>
        <w:t>to provide under Commission Delegated Regulation (EU) XX/XXX</w:t>
      </w:r>
      <w:r w:rsidRPr="00DC4465">
        <w:rPr>
          <w:rStyle w:val="FootnoteReference"/>
          <w:noProof/>
        </w:rPr>
        <w:footnoteReference w:id="3"/>
      </w:r>
      <w:r w:rsidRPr="00DC4465">
        <w:rPr>
          <w:noProof/>
        </w:rPr>
        <w:t xml:space="preserve">. </w:t>
      </w:r>
    </w:p>
    <w:p w14:paraId="1DDF3121" w14:textId="3613CBCA" w:rsidR="00AA596A" w:rsidRPr="003D4774" w:rsidRDefault="00AA596A" w:rsidP="009A627D">
      <w:pPr>
        <w:pStyle w:val="PointManual"/>
        <w:jc w:val="both"/>
        <w:rPr>
          <w:noProof/>
        </w:rPr>
      </w:pPr>
      <w:r w:rsidRPr="004076B5">
        <w:t>(3)</w:t>
      </w:r>
      <w:r w:rsidRPr="004076B5">
        <w:rPr>
          <w:noProof/>
        </w:rPr>
        <w:tab/>
      </w:r>
      <w:r>
        <w:rPr>
          <w:noProof/>
        </w:rPr>
        <w:t>T</w:t>
      </w:r>
      <w:r w:rsidRPr="003D4774">
        <w:rPr>
          <w:noProof/>
        </w:rPr>
        <w:t xml:space="preserve">o reduce the reporting burden on undertakings, as set out in </w:t>
      </w:r>
      <w:r>
        <w:rPr>
          <w:noProof/>
        </w:rPr>
        <w:t xml:space="preserve">the </w:t>
      </w:r>
      <w:r w:rsidRPr="003D4774">
        <w:rPr>
          <w:noProof/>
        </w:rPr>
        <w:t xml:space="preserve">Commission Communication on ‘Long-term competitiveness of the EU: </w:t>
      </w:r>
      <w:r w:rsidRPr="00DC4465">
        <w:rPr>
          <w:noProof/>
        </w:rPr>
        <w:t>looking beyond 2030’</w:t>
      </w:r>
      <w:r w:rsidRPr="00DC4465">
        <w:rPr>
          <w:rStyle w:val="FootnoteReference"/>
          <w:noProof/>
        </w:rPr>
        <w:footnoteReference w:id="4"/>
      </w:r>
      <w:r w:rsidRPr="00DC4465">
        <w:rPr>
          <w:noProof/>
        </w:rPr>
        <w:t xml:space="preserve">, undertakings should be allowed to focus first on the </w:t>
      </w:r>
      <w:r w:rsidRPr="008F4DF1">
        <w:rPr>
          <w:noProof/>
        </w:rPr>
        <w:t>implementation</w:t>
      </w:r>
      <w:r w:rsidRPr="00DC4465">
        <w:rPr>
          <w:noProof/>
        </w:rPr>
        <w:t xml:space="preserve"> of</w:t>
      </w:r>
      <w:r w:rsidRPr="003D4774">
        <w:rPr>
          <w:noProof/>
        </w:rPr>
        <w:t xml:space="preserve"> sustainability reporting</w:t>
      </w:r>
      <w:r>
        <w:rPr>
          <w:noProof/>
        </w:rPr>
        <w:t xml:space="preserve"> requirements</w:t>
      </w:r>
      <w:r w:rsidRPr="003D4774">
        <w:rPr>
          <w:noProof/>
        </w:rPr>
        <w:t xml:space="preserve"> </w:t>
      </w:r>
      <w:r>
        <w:rPr>
          <w:noProof/>
        </w:rPr>
        <w:t xml:space="preserve">laid down in Delegated Regulation (EU) XX/XXX. For that reason, </w:t>
      </w:r>
      <w:r w:rsidRPr="003D4774">
        <w:rPr>
          <w:noProof/>
        </w:rPr>
        <w:t>the time limit for the adoption of the delegated acts</w:t>
      </w:r>
      <w:r>
        <w:rPr>
          <w:noProof/>
        </w:rPr>
        <w:t xml:space="preserve"> containing the complementary sustainability reporting requirements</w:t>
      </w:r>
      <w:r w:rsidRPr="003D4774">
        <w:rPr>
          <w:noProof/>
        </w:rPr>
        <w:t xml:space="preserve"> </w:t>
      </w:r>
      <w:r>
        <w:rPr>
          <w:noProof/>
        </w:rPr>
        <w:t xml:space="preserve">referred to in </w:t>
      </w:r>
      <w:r w:rsidRPr="003D4774">
        <w:rPr>
          <w:noProof/>
        </w:rPr>
        <w:t>Article 29b</w:t>
      </w:r>
      <w:r>
        <w:rPr>
          <w:noProof/>
        </w:rPr>
        <w:t>(1), third subparagraph,</w:t>
      </w:r>
      <w:r w:rsidRPr="003D4774">
        <w:rPr>
          <w:noProof/>
        </w:rPr>
        <w:t xml:space="preserve"> of Directive 2013/34/EU</w:t>
      </w:r>
      <w:r>
        <w:rPr>
          <w:noProof/>
        </w:rPr>
        <w:t xml:space="preserve"> </w:t>
      </w:r>
      <w:r w:rsidRPr="003D4774">
        <w:rPr>
          <w:noProof/>
        </w:rPr>
        <w:t>should be postponed by 2 years.</w:t>
      </w:r>
      <w:r w:rsidR="00A641B8">
        <w:rPr>
          <w:noProof/>
        </w:rPr>
        <w:t xml:space="preserve"> </w:t>
      </w:r>
      <w:r w:rsidR="00A641B8" w:rsidRPr="00101988">
        <w:rPr>
          <w:b/>
          <w:i/>
          <w:szCs w:val="24"/>
        </w:rPr>
        <w:t>However, this does not prevent the Commission from publishing the sector specific sustainability reporting standards before that date and the Commission should endeavour to adopt eight of the sector-specific sustainability reporting standards as soon as each is ready.</w:t>
      </w:r>
    </w:p>
    <w:p w14:paraId="22D8E2FC" w14:textId="77777777" w:rsidR="00A641B8" w:rsidRDefault="00A641B8" w:rsidP="009A627D">
      <w:pPr>
        <w:pStyle w:val="PointManual"/>
        <w:jc w:val="both"/>
      </w:pPr>
      <w:r w:rsidRPr="00101988">
        <w:rPr>
          <w:b/>
          <w:i/>
          <w:szCs w:val="24"/>
        </w:rPr>
        <w:t>(3a)</w:t>
      </w:r>
      <w:r w:rsidRPr="00101988">
        <w:tab/>
      </w:r>
      <w:r w:rsidRPr="00101988">
        <w:rPr>
          <w:b/>
          <w:i/>
          <w:szCs w:val="24"/>
        </w:rPr>
        <w:t xml:space="preserve">Undertakings in the same sector </w:t>
      </w:r>
      <w:proofErr w:type="gramStart"/>
      <w:r w:rsidRPr="00101988">
        <w:rPr>
          <w:b/>
          <w:i/>
          <w:szCs w:val="24"/>
        </w:rPr>
        <w:t>are often exposed</w:t>
      </w:r>
      <w:proofErr w:type="gramEnd"/>
      <w:r w:rsidRPr="00101988">
        <w:rPr>
          <w:b/>
          <w:i/>
          <w:szCs w:val="24"/>
        </w:rPr>
        <w:t xml:space="preserve"> to similar sustainability-related risks, and they often have similar impacts on society and the environment. Comparisons between undertakings in the same sector are especially valuable to investors and other users of sustainability information. Sustainability reporting standards should therefore specify both information that undertakings in all sectors should disclose and information that undertakings should disclose depending on their sector of activity. </w:t>
      </w:r>
      <w:proofErr w:type="gramStart"/>
      <w:r w:rsidRPr="00101988">
        <w:rPr>
          <w:b/>
          <w:i/>
          <w:szCs w:val="24"/>
        </w:rPr>
        <w:t>Sector-specific sustainability reporting standards are especially important in the case of sectors associated with high sustainability risks for or impacts on the environment, human rights and governance, including sectors listed in Sections A, B (including oil, gas, mining and coal) to H</w:t>
      </w:r>
      <w:r>
        <w:rPr>
          <w:b/>
          <w:i/>
          <w:szCs w:val="24"/>
        </w:rPr>
        <w:t>,</w:t>
      </w:r>
      <w:r w:rsidRPr="00101988">
        <w:rPr>
          <w:b/>
          <w:i/>
          <w:szCs w:val="24"/>
        </w:rPr>
        <w:t xml:space="preserve"> K and L of Annex I to Regulation (EC) No 1893/2006 of the European Parliament and of </w:t>
      </w:r>
      <w:r w:rsidRPr="00101988">
        <w:rPr>
          <w:b/>
          <w:i/>
          <w:szCs w:val="24"/>
        </w:rPr>
        <w:lastRenderedPageBreak/>
        <w:t>the Council, and the relevant activities within those sectors.</w:t>
      </w:r>
      <w:proofErr w:type="gramEnd"/>
      <w:r w:rsidRPr="00101988">
        <w:rPr>
          <w:b/>
          <w:i/>
          <w:szCs w:val="24"/>
        </w:rPr>
        <w:t xml:space="preserve"> When adopting sector-specific sustainability reporting standards, the Commission should ensure the information specified by those </w:t>
      </w:r>
      <w:proofErr w:type="gramStart"/>
      <w:r w:rsidRPr="00101988">
        <w:rPr>
          <w:b/>
          <w:i/>
          <w:szCs w:val="24"/>
        </w:rPr>
        <w:t>sustainability reporting</w:t>
      </w:r>
      <w:proofErr w:type="gramEnd"/>
      <w:r w:rsidRPr="00101988">
        <w:rPr>
          <w:b/>
          <w:i/>
          <w:szCs w:val="24"/>
        </w:rPr>
        <w:t xml:space="preserve"> standards is proportionate to the scale of the risks and impacts related to sustainability matters specific to each sector, taking account of the fact that the risks and impacts of some sectors are higher than for others. The Commission should also take account of the fact that not all activities within such sectors are necessarily associated with high sustainability risks or impacts. For undertakings that operate in sectors particularly reliant on natural resources, sector-specific sustainability reporting standards would require the disclosure of nature-related impacts on and risks for biodiversity and ecosystems.</w:t>
      </w:r>
      <w:r w:rsidRPr="004076B5">
        <w:t xml:space="preserve"> </w:t>
      </w:r>
    </w:p>
    <w:p w14:paraId="166C83ED" w14:textId="716AA215" w:rsidR="008A354A" w:rsidRDefault="00AA596A" w:rsidP="009A627D">
      <w:pPr>
        <w:pStyle w:val="PointManual"/>
        <w:jc w:val="both"/>
        <w:rPr>
          <w:noProof/>
        </w:rPr>
      </w:pPr>
      <w:proofErr w:type="gramStart"/>
      <w:r w:rsidRPr="004076B5">
        <w:t>(4)</w:t>
      </w:r>
      <w:r w:rsidRPr="004076B5">
        <w:tab/>
      </w:r>
      <w:r w:rsidRPr="003D4774">
        <w:rPr>
          <w:noProof/>
        </w:rPr>
        <w:t xml:space="preserve">Article 40b of Directive 2013/34/EU also requires the Commission to adopt, by 30 June 2024, </w:t>
      </w:r>
      <w:r>
        <w:rPr>
          <w:noProof/>
        </w:rPr>
        <w:t xml:space="preserve">a </w:t>
      </w:r>
      <w:r w:rsidRPr="003D4774">
        <w:rPr>
          <w:noProof/>
        </w:rPr>
        <w:t xml:space="preserve">delegated act to </w:t>
      </w:r>
      <w:r>
        <w:rPr>
          <w:noProof/>
        </w:rPr>
        <w:t xml:space="preserve">provide for </w:t>
      </w:r>
      <w:r w:rsidRPr="003D4774">
        <w:rPr>
          <w:noProof/>
        </w:rPr>
        <w:t xml:space="preserve">sustainability reporting standards to be used </w:t>
      </w:r>
      <w:r>
        <w:rPr>
          <w:noProof/>
        </w:rPr>
        <w:t xml:space="preserve">for the disclosure of sustainability information concerning </w:t>
      </w:r>
      <w:r w:rsidRPr="003D4774">
        <w:rPr>
          <w:noProof/>
        </w:rPr>
        <w:t xml:space="preserve">third-country undertakings with </w:t>
      </w:r>
      <w:r>
        <w:rPr>
          <w:noProof/>
        </w:rPr>
        <w:t xml:space="preserve">a </w:t>
      </w:r>
      <w:r w:rsidRPr="003D4774">
        <w:rPr>
          <w:noProof/>
        </w:rPr>
        <w:t xml:space="preserve">net turnover above EUR 150 million and with either subsidiaries in the Union that are large undertakings or small and medium-sized undertakings with securities admitted to trading in the Union regulated markets, or with branches in the Union with </w:t>
      </w:r>
      <w:r>
        <w:rPr>
          <w:noProof/>
        </w:rPr>
        <w:t xml:space="preserve">a </w:t>
      </w:r>
      <w:r w:rsidRPr="003D4774">
        <w:rPr>
          <w:noProof/>
        </w:rPr>
        <w:t>net turnover above EUR 40 million.</w:t>
      </w:r>
      <w:proofErr w:type="gramEnd"/>
    </w:p>
    <w:p w14:paraId="117DFC9C" w14:textId="77777777" w:rsidR="00AA596A" w:rsidRPr="003D4774" w:rsidRDefault="008A354A" w:rsidP="008A354A">
      <w:pPr>
        <w:rPr>
          <w:noProof/>
        </w:rPr>
      </w:pPr>
      <w:r>
        <w:rPr>
          <w:noProof/>
        </w:rPr>
        <w:br w:type="page"/>
      </w:r>
    </w:p>
    <w:p w14:paraId="5C0DD2C5" w14:textId="05BA3ECD" w:rsidR="00AA596A" w:rsidRDefault="00AA596A" w:rsidP="009A627D">
      <w:pPr>
        <w:pStyle w:val="PointManual"/>
        <w:jc w:val="both"/>
        <w:rPr>
          <w:noProof/>
        </w:rPr>
      </w:pPr>
      <w:r w:rsidRPr="004076B5">
        <w:t>(5)</w:t>
      </w:r>
      <w:r w:rsidRPr="004076B5">
        <w:tab/>
      </w:r>
      <w:r>
        <w:rPr>
          <w:noProof/>
        </w:rPr>
        <w:t>T</w:t>
      </w:r>
      <w:r w:rsidRPr="003D4774">
        <w:rPr>
          <w:noProof/>
        </w:rPr>
        <w:t xml:space="preserve">he reporting requirements for certain </w:t>
      </w:r>
      <w:bookmarkStart w:id="0" w:name="_Hlk144979228"/>
      <w:r w:rsidRPr="003D4774">
        <w:rPr>
          <w:noProof/>
        </w:rPr>
        <w:t>third-country undertakings</w:t>
      </w:r>
      <w:bookmarkEnd w:id="0"/>
      <w:r w:rsidRPr="003D4774">
        <w:rPr>
          <w:noProof/>
        </w:rPr>
        <w:t xml:space="preserve"> only apply </w:t>
      </w:r>
      <w:r>
        <w:rPr>
          <w:noProof/>
        </w:rPr>
        <w:t>as of</w:t>
      </w:r>
      <w:r w:rsidRPr="003D4774">
        <w:rPr>
          <w:noProof/>
        </w:rPr>
        <w:t xml:space="preserve"> financial year 2028</w:t>
      </w:r>
      <w:r>
        <w:rPr>
          <w:noProof/>
        </w:rPr>
        <w:t xml:space="preserve">. Since the </w:t>
      </w:r>
      <w:r w:rsidRPr="003D4774">
        <w:rPr>
          <w:noProof/>
        </w:rPr>
        <w:t xml:space="preserve">time limit for </w:t>
      </w:r>
      <w:r>
        <w:rPr>
          <w:noProof/>
        </w:rPr>
        <w:t xml:space="preserve">the </w:t>
      </w:r>
      <w:r w:rsidRPr="003D4774">
        <w:rPr>
          <w:noProof/>
        </w:rPr>
        <w:t>adoption of the delegated act</w:t>
      </w:r>
      <w:r>
        <w:rPr>
          <w:noProof/>
        </w:rPr>
        <w:t>s containing the complementary sustainability reporting obligations</w:t>
      </w:r>
      <w:r w:rsidRPr="003D4774">
        <w:rPr>
          <w:noProof/>
        </w:rPr>
        <w:t xml:space="preserve"> </w:t>
      </w:r>
      <w:r>
        <w:rPr>
          <w:noProof/>
        </w:rPr>
        <w:t xml:space="preserve">referred to in </w:t>
      </w:r>
      <w:r w:rsidRPr="003D4774">
        <w:rPr>
          <w:noProof/>
        </w:rPr>
        <w:t>Article 29b</w:t>
      </w:r>
      <w:r>
        <w:rPr>
          <w:noProof/>
        </w:rPr>
        <w:t>(1), third subparagraph,</w:t>
      </w:r>
      <w:r w:rsidRPr="003D4774">
        <w:rPr>
          <w:noProof/>
        </w:rPr>
        <w:t xml:space="preserve"> of Directive 2013/34/EU</w:t>
      </w:r>
      <w:r>
        <w:rPr>
          <w:noProof/>
        </w:rPr>
        <w:t xml:space="preserve"> will be postponed by 2 years, </w:t>
      </w:r>
      <w:r w:rsidRPr="003D4774">
        <w:rPr>
          <w:noProof/>
        </w:rPr>
        <w:t xml:space="preserve">the time limit for </w:t>
      </w:r>
      <w:r>
        <w:rPr>
          <w:noProof/>
        </w:rPr>
        <w:t xml:space="preserve">the </w:t>
      </w:r>
      <w:r w:rsidRPr="003D4774">
        <w:rPr>
          <w:noProof/>
        </w:rPr>
        <w:t xml:space="preserve">adoption of </w:t>
      </w:r>
      <w:r>
        <w:rPr>
          <w:noProof/>
        </w:rPr>
        <w:t>t</w:t>
      </w:r>
      <w:r w:rsidRPr="003D4774">
        <w:rPr>
          <w:noProof/>
        </w:rPr>
        <w:t xml:space="preserve">he </w:t>
      </w:r>
      <w:r>
        <w:rPr>
          <w:noProof/>
        </w:rPr>
        <w:t xml:space="preserve">sustainability </w:t>
      </w:r>
      <w:r w:rsidRPr="003D4774">
        <w:rPr>
          <w:noProof/>
        </w:rPr>
        <w:t xml:space="preserve">reporting </w:t>
      </w:r>
      <w:r>
        <w:rPr>
          <w:noProof/>
        </w:rPr>
        <w:t>standards</w:t>
      </w:r>
      <w:r w:rsidRPr="003D4774">
        <w:rPr>
          <w:noProof/>
        </w:rPr>
        <w:t xml:space="preserve"> for certain third-country undertakings </w:t>
      </w:r>
      <w:r w:rsidRPr="00803563">
        <w:rPr>
          <w:strike/>
          <w:noProof/>
        </w:rPr>
        <w:t>standards</w:t>
      </w:r>
      <w:r w:rsidRPr="00351B62">
        <w:rPr>
          <w:noProof/>
        </w:rPr>
        <w:t xml:space="preserve"> </w:t>
      </w:r>
      <w:r w:rsidRPr="003D4774">
        <w:rPr>
          <w:noProof/>
        </w:rPr>
        <w:t xml:space="preserve">should also be postponed by 2 years.  </w:t>
      </w:r>
    </w:p>
    <w:p w14:paraId="55080488" w14:textId="2FA2A8E1" w:rsidR="00A641B8" w:rsidRPr="003D4774" w:rsidRDefault="00A641B8" w:rsidP="009A627D">
      <w:pPr>
        <w:pStyle w:val="PointManual"/>
        <w:jc w:val="both"/>
        <w:rPr>
          <w:noProof/>
        </w:rPr>
      </w:pPr>
      <w:r w:rsidRPr="00101988">
        <w:rPr>
          <w:rFonts w:eastAsia="Calibri"/>
          <w:b/>
          <w:i/>
          <w:noProof/>
        </w:rPr>
        <w:t>(5a)</w:t>
      </w:r>
      <w:r w:rsidRPr="00101988">
        <w:tab/>
      </w:r>
      <w:r w:rsidRPr="00101988">
        <w:rPr>
          <w:rFonts w:eastAsia="Calibri"/>
          <w:b/>
          <w:i/>
          <w:noProof/>
        </w:rPr>
        <w:t xml:space="preserve">In order to foster democratic control, scrutiny and transparency, the Commission should, at least once a year, consult the European Parliament, and jointly the Member State Expert Group on Sustainable Finance and Accounting Regulatory Committee on EFRAG’s work programme as regards the development of sustainability reporting standards. </w:t>
      </w:r>
      <w:r w:rsidRPr="00101988">
        <w:rPr>
          <w:b/>
          <w:i/>
          <w:iCs/>
        </w:rPr>
        <w:t>EFRAG’s work programme</w:t>
      </w:r>
      <w:r w:rsidRPr="00101988">
        <w:rPr>
          <w:b/>
          <w:i/>
        </w:rPr>
        <w:t xml:space="preserve"> </w:t>
      </w:r>
      <w:r w:rsidRPr="00101988">
        <w:rPr>
          <w:b/>
          <w:i/>
          <w:iCs/>
        </w:rPr>
        <w:t>as regards the development of sustainability reporting standards should include information on its planning, prioritisation and timelines for future draft standards and other deliverables.</w:t>
      </w:r>
    </w:p>
    <w:p w14:paraId="195BA7D6" w14:textId="6F9D7415" w:rsidR="008A354A" w:rsidRDefault="00AA596A" w:rsidP="009A627D">
      <w:pPr>
        <w:pStyle w:val="PointManual"/>
        <w:jc w:val="both"/>
        <w:rPr>
          <w:noProof/>
        </w:rPr>
      </w:pPr>
      <w:r w:rsidRPr="004076B5">
        <w:t>(6)</w:t>
      </w:r>
      <w:r w:rsidRPr="004076B5">
        <w:tab/>
      </w:r>
      <w:r w:rsidRPr="003D4774">
        <w:rPr>
          <w:noProof/>
        </w:rPr>
        <w:t>Directive 2013/34/EU should therefore be amended accordingly</w:t>
      </w:r>
      <w:r w:rsidRPr="005D02A8">
        <w:rPr>
          <w:bCs/>
          <w:noProof/>
        </w:rPr>
        <w:t xml:space="preserve">. </w:t>
      </w:r>
      <w:r w:rsidRPr="00803563">
        <w:rPr>
          <w:b/>
          <w:u w:val="single"/>
        </w:rPr>
        <w:t xml:space="preserve">Since the targeted amendments concern a specific element of an empowerment to adopt delegated acts granted to the Commission, there is no need </w:t>
      </w:r>
      <w:r w:rsidRPr="005D02A8">
        <w:rPr>
          <w:b/>
          <w:u w:val="single"/>
        </w:rPr>
        <w:t xml:space="preserve">for </w:t>
      </w:r>
      <w:r w:rsidRPr="005D02A8">
        <w:rPr>
          <w:b/>
          <w:noProof/>
          <w:u w:val="single"/>
        </w:rPr>
        <w:t>the</w:t>
      </w:r>
      <w:r w:rsidRPr="005D02A8">
        <w:rPr>
          <w:b/>
          <w:u w:val="single"/>
        </w:rPr>
        <w:t xml:space="preserve"> Member</w:t>
      </w:r>
      <w:r w:rsidRPr="00803563">
        <w:rPr>
          <w:b/>
          <w:u w:val="single"/>
        </w:rPr>
        <w:t xml:space="preserve"> States to transpose the amendments in case their national legislations only </w:t>
      </w:r>
      <w:proofErr w:type="gramStart"/>
      <w:r w:rsidRPr="00803563">
        <w:rPr>
          <w:b/>
          <w:u w:val="single"/>
        </w:rPr>
        <w:t>make reference</w:t>
      </w:r>
      <w:proofErr w:type="gramEnd"/>
      <w:r w:rsidRPr="00803563">
        <w:rPr>
          <w:b/>
          <w:u w:val="single"/>
        </w:rPr>
        <w:t xml:space="preserve"> to such empowerment</w:t>
      </w:r>
      <w:r w:rsidRPr="003D4774">
        <w:rPr>
          <w:noProof/>
        </w:rPr>
        <w:t>,</w:t>
      </w:r>
    </w:p>
    <w:p w14:paraId="74A16B47" w14:textId="77777777" w:rsidR="00AA596A" w:rsidRPr="00DC4465" w:rsidRDefault="008A354A" w:rsidP="008A354A">
      <w:pPr>
        <w:rPr>
          <w:noProof/>
        </w:rPr>
      </w:pPr>
      <w:r>
        <w:rPr>
          <w:noProof/>
        </w:rPr>
        <w:br w:type="page"/>
      </w:r>
    </w:p>
    <w:p w14:paraId="6C426F2B" w14:textId="2BF134C7" w:rsidR="00AA596A" w:rsidRPr="00A9097A" w:rsidRDefault="00AA596A" w:rsidP="00AA596A">
      <w:pPr>
        <w:pStyle w:val="Formuledadoption"/>
        <w:rPr>
          <w:noProof/>
        </w:rPr>
      </w:pPr>
      <w:r w:rsidRPr="00A9097A">
        <w:rPr>
          <w:noProof/>
        </w:rPr>
        <w:t xml:space="preserve">HAVE ADOPTED THIS </w:t>
      </w:r>
      <w:r w:rsidRPr="005D02A8">
        <w:rPr>
          <w:strike/>
          <w:noProof/>
        </w:rPr>
        <w:t>DECISION</w:t>
      </w:r>
      <w:r w:rsidR="005D02A8">
        <w:rPr>
          <w:noProof/>
        </w:rPr>
        <w:t xml:space="preserve"> </w:t>
      </w:r>
      <w:r w:rsidR="005D02A8" w:rsidRPr="005D02A8">
        <w:rPr>
          <w:b/>
          <w:bCs/>
          <w:noProof/>
          <w:u w:val="single"/>
        </w:rPr>
        <w:t>DIRECTIVE</w:t>
      </w:r>
      <w:r w:rsidRPr="00A9097A">
        <w:rPr>
          <w:noProof/>
        </w:rPr>
        <w:t xml:space="preserve">: </w:t>
      </w:r>
    </w:p>
    <w:p w14:paraId="4BAFA7D3" w14:textId="77777777" w:rsidR="00AA596A" w:rsidRDefault="00AA596A" w:rsidP="00AA596A">
      <w:pPr>
        <w:pStyle w:val="Titrearticle"/>
        <w:rPr>
          <w:noProof/>
        </w:rPr>
      </w:pPr>
      <w:r w:rsidRPr="00A9097A">
        <w:rPr>
          <w:noProof/>
        </w:rPr>
        <w:t>Article 1</w:t>
      </w:r>
    </w:p>
    <w:p w14:paraId="2CC63660" w14:textId="77777777" w:rsidR="00AA596A" w:rsidRPr="003D4774" w:rsidRDefault="00AA596A" w:rsidP="00AA596A">
      <w:pPr>
        <w:pStyle w:val="Titrearticle"/>
        <w:rPr>
          <w:b/>
          <w:bCs/>
          <w:i w:val="0"/>
          <w:iCs/>
          <w:noProof/>
        </w:rPr>
      </w:pPr>
      <w:r w:rsidRPr="003D4774">
        <w:rPr>
          <w:b/>
          <w:bCs/>
          <w:i w:val="0"/>
          <w:iCs/>
          <w:noProof/>
        </w:rPr>
        <w:t>Amendments to Directive 2013/34/EU</w:t>
      </w:r>
    </w:p>
    <w:p w14:paraId="4B20C9DB" w14:textId="77777777" w:rsidR="00AA596A" w:rsidRPr="003D4774" w:rsidRDefault="00AA596A" w:rsidP="00AA596A">
      <w:pPr>
        <w:rPr>
          <w:noProof/>
        </w:rPr>
      </w:pPr>
      <w:r w:rsidRPr="003D4774">
        <w:rPr>
          <w:noProof/>
        </w:rPr>
        <w:t>Directive 2013/34/EU is amended as follows:</w:t>
      </w:r>
    </w:p>
    <w:p w14:paraId="43ECAD40" w14:textId="0E35808E" w:rsidR="00AA596A" w:rsidRDefault="00AA596A" w:rsidP="00AA596A">
      <w:pPr>
        <w:pStyle w:val="PointManual"/>
        <w:rPr>
          <w:noProof/>
        </w:rPr>
      </w:pPr>
      <w:r w:rsidRPr="004076B5">
        <w:t>(1)</w:t>
      </w:r>
      <w:r w:rsidRPr="004076B5">
        <w:tab/>
      </w:r>
      <w:r w:rsidRPr="00803563">
        <w:rPr>
          <w:strike/>
          <w:noProof/>
        </w:rPr>
        <w:t>I</w:t>
      </w:r>
      <w:r w:rsidRPr="00803563">
        <w:rPr>
          <w:b/>
          <w:noProof/>
          <w:u w:val="single"/>
        </w:rPr>
        <w:t>i</w:t>
      </w:r>
      <w:r w:rsidRPr="003D4774">
        <w:rPr>
          <w:noProof/>
        </w:rPr>
        <w:t xml:space="preserve">n Article 29b(1), third subparagraph, </w:t>
      </w:r>
      <w:r w:rsidRPr="00803563">
        <w:rPr>
          <w:b/>
          <w:noProof/>
          <w:u w:val="single"/>
        </w:rPr>
        <w:t>the</w:t>
      </w:r>
      <w:r w:rsidRPr="00F81FC1">
        <w:rPr>
          <w:b/>
          <w:noProof/>
        </w:rPr>
        <w:t xml:space="preserve"> </w:t>
      </w:r>
      <w:r w:rsidRPr="003D4774">
        <w:rPr>
          <w:noProof/>
        </w:rPr>
        <w:t>introductory wording,</w:t>
      </w:r>
      <w:r>
        <w:rPr>
          <w:noProof/>
        </w:rPr>
        <w:t xml:space="preserve"> ‘</w:t>
      </w:r>
      <w:r w:rsidRPr="003D4774">
        <w:rPr>
          <w:noProof/>
        </w:rPr>
        <w:t>30 June 2024’ is replaced by</w:t>
      </w:r>
      <w:r>
        <w:rPr>
          <w:noProof/>
        </w:rPr>
        <w:t xml:space="preserve"> ‘</w:t>
      </w:r>
      <w:r w:rsidRPr="003D4774">
        <w:rPr>
          <w:noProof/>
        </w:rPr>
        <w:t>30 June 2026’;</w:t>
      </w:r>
    </w:p>
    <w:p w14:paraId="35917FA2" w14:textId="1BA4957A" w:rsidR="00A641B8" w:rsidRDefault="00A641B8" w:rsidP="00A641B8">
      <w:pPr>
        <w:pStyle w:val="PointManual"/>
        <w:rPr>
          <w:b/>
          <w:i/>
          <w:noProof/>
        </w:rPr>
      </w:pPr>
      <w:r w:rsidRPr="00A641B8">
        <w:rPr>
          <w:b/>
          <w:i/>
          <w:noProof/>
        </w:rPr>
        <w:t>(1a)</w:t>
      </w:r>
      <w:r w:rsidRPr="00A641B8">
        <w:rPr>
          <w:b/>
          <w:i/>
          <w:noProof/>
        </w:rPr>
        <w:tab/>
      </w:r>
      <w:r>
        <w:rPr>
          <w:b/>
          <w:i/>
          <w:noProof/>
        </w:rPr>
        <w:t>in Article 29b(1), a new subparagraph is inserted before the fourth subparagraph:</w:t>
      </w:r>
    </w:p>
    <w:p w14:paraId="140727BD" w14:textId="7679E943" w:rsidR="00A641B8" w:rsidRPr="00A641B8" w:rsidRDefault="00A641B8" w:rsidP="00A641B8">
      <w:pPr>
        <w:pStyle w:val="PointManual"/>
        <w:rPr>
          <w:b/>
          <w:i/>
          <w:noProof/>
        </w:rPr>
      </w:pPr>
      <w:r>
        <w:rPr>
          <w:b/>
          <w:i/>
          <w:noProof/>
        </w:rPr>
        <w:tab/>
      </w:r>
      <w:r w:rsidRPr="0084012E">
        <w:rPr>
          <w:rFonts w:eastAsia="Calibri"/>
          <w:b/>
          <w:i/>
          <w:noProof/>
        </w:rPr>
        <w:t>'The Commission shall endeavour to adopt eight of the sustainability reporting standards referred to in point (ii) as soon as each is ready.'</w:t>
      </w:r>
    </w:p>
    <w:p w14:paraId="69BF5028" w14:textId="64020DAD" w:rsidR="00AA596A" w:rsidRPr="003D4774" w:rsidRDefault="00AA596A" w:rsidP="00AA596A">
      <w:pPr>
        <w:pStyle w:val="Point0"/>
        <w:rPr>
          <w:noProof/>
        </w:rPr>
      </w:pPr>
      <w:r w:rsidRPr="004076B5">
        <w:t>(2)</w:t>
      </w:r>
      <w:r w:rsidR="005D02A8">
        <w:t xml:space="preserve">     </w:t>
      </w:r>
      <w:r w:rsidRPr="003D4774">
        <w:rPr>
          <w:noProof/>
        </w:rPr>
        <w:t>in Article 40b,</w:t>
      </w:r>
      <w:r>
        <w:rPr>
          <w:noProof/>
        </w:rPr>
        <w:t xml:space="preserve"> ‘</w:t>
      </w:r>
      <w:r w:rsidRPr="003D4774">
        <w:rPr>
          <w:noProof/>
        </w:rPr>
        <w:t xml:space="preserve">30 June 2024’ is replaced by </w:t>
      </w:r>
      <w:r>
        <w:rPr>
          <w:noProof/>
        </w:rPr>
        <w:t>‘</w:t>
      </w:r>
      <w:r w:rsidRPr="003D4774">
        <w:rPr>
          <w:noProof/>
        </w:rPr>
        <w:t>30 June 2026’.</w:t>
      </w:r>
    </w:p>
    <w:p w14:paraId="6B72FB8D" w14:textId="77777777" w:rsidR="00AA596A" w:rsidRDefault="00AA596A" w:rsidP="00AA596A">
      <w:pPr>
        <w:pStyle w:val="Titrearticle"/>
        <w:rPr>
          <w:noProof/>
        </w:rPr>
      </w:pPr>
      <w:r w:rsidRPr="00A9097A">
        <w:rPr>
          <w:noProof/>
        </w:rPr>
        <w:t>Article</w:t>
      </w:r>
      <w:r>
        <w:rPr>
          <w:noProof/>
        </w:rPr>
        <w:t xml:space="preserve"> 2</w:t>
      </w:r>
    </w:p>
    <w:p w14:paraId="35293514" w14:textId="77777777" w:rsidR="00AA596A" w:rsidRPr="003D4774" w:rsidRDefault="00AA596A" w:rsidP="00AA596A">
      <w:pPr>
        <w:pStyle w:val="Titrearticle"/>
        <w:rPr>
          <w:b/>
          <w:bCs/>
          <w:i w:val="0"/>
          <w:iCs/>
          <w:noProof/>
        </w:rPr>
      </w:pPr>
      <w:r>
        <w:rPr>
          <w:b/>
          <w:bCs/>
          <w:i w:val="0"/>
          <w:iCs/>
          <w:noProof/>
        </w:rPr>
        <w:t>Entry into force</w:t>
      </w:r>
    </w:p>
    <w:p w14:paraId="7B98F11A" w14:textId="576235D7" w:rsidR="00AA596A" w:rsidRPr="005D02A8" w:rsidRDefault="005D02A8" w:rsidP="005D02A8">
      <w:pPr>
        <w:rPr>
          <w:bCs/>
          <w:noProof/>
        </w:rPr>
      </w:pPr>
      <w:r w:rsidRPr="005D02A8">
        <w:rPr>
          <w:bCs/>
          <w:noProof/>
        </w:rPr>
        <w:t xml:space="preserve">This </w:t>
      </w:r>
      <w:r w:rsidRPr="005D02A8">
        <w:rPr>
          <w:b/>
          <w:strike/>
          <w:noProof/>
        </w:rPr>
        <w:t>Decision</w:t>
      </w:r>
      <w:r w:rsidRPr="00B62E7B">
        <w:rPr>
          <w:b/>
          <w:noProof/>
        </w:rPr>
        <w:t xml:space="preserve"> </w:t>
      </w:r>
      <w:r w:rsidRPr="005D02A8">
        <w:rPr>
          <w:b/>
          <w:noProof/>
          <w:u w:val="single"/>
        </w:rPr>
        <w:t>Directive</w:t>
      </w:r>
      <w:r w:rsidRPr="00B62E7B">
        <w:rPr>
          <w:b/>
          <w:noProof/>
        </w:rPr>
        <w:t xml:space="preserve"> </w:t>
      </w:r>
      <w:r w:rsidRPr="005D02A8">
        <w:rPr>
          <w:bCs/>
          <w:noProof/>
        </w:rPr>
        <w:t xml:space="preserve">shall enter into force on the twentieth day following that of its publication in the </w:t>
      </w:r>
      <w:r w:rsidRPr="005D02A8">
        <w:rPr>
          <w:bCs/>
          <w:i/>
          <w:iCs/>
          <w:noProof/>
        </w:rPr>
        <w:t>Official Journal of the European Union</w:t>
      </w:r>
      <w:r w:rsidRPr="005D02A8">
        <w:rPr>
          <w:bCs/>
          <w:noProof/>
        </w:rPr>
        <w:t xml:space="preserve">. </w:t>
      </w:r>
    </w:p>
    <w:p w14:paraId="35666F80" w14:textId="77777777" w:rsidR="00AA596A" w:rsidRPr="00803563" w:rsidRDefault="00AA596A" w:rsidP="00AA596A">
      <w:pPr>
        <w:pStyle w:val="Titrearticle"/>
        <w:rPr>
          <w:b/>
          <w:noProof/>
          <w:u w:val="single"/>
        </w:rPr>
      </w:pPr>
      <w:r w:rsidRPr="00803563">
        <w:rPr>
          <w:b/>
          <w:noProof/>
          <w:u w:val="single"/>
        </w:rPr>
        <w:t>Article 3</w:t>
      </w:r>
    </w:p>
    <w:p w14:paraId="35D0617C" w14:textId="77777777" w:rsidR="00AA596A" w:rsidRPr="00803563" w:rsidRDefault="00AA596A" w:rsidP="00AA596A">
      <w:pPr>
        <w:pStyle w:val="Titrearticle"/>
        <w:rPr>
          <w:b/>
          <w:bCs/>
          <w:i w:val="0"/>
          <w:iCs/>
          <w:noProof/>
          <w:u w:val="single"/>
        </w:rPr>
      </w:pPr>
      <w:r w:rsidRPr="00803563">
        <w:rPr>
          <w:b/>
          <w:bCs/>
          <w:i w:val="0"/>
          <w:iCs/>
          <w:noProof/>
          <w:u w:val="single"/>
        </w:rPr>
        <w:t>Addressees</w:t>
      </w:r>
    </w:p>
    <w:p w14:paraId="16389FAD" w14:textId="77777777" w:rsidR="00AA596A" w:rsidRPr="00803563" w:rsidRDefault="00AA596A" w:rsidP="00AA596A">
      <w:pPr>
        <w:rPr>
          <w:b/>
          <w:noProof/>
          <w:u w:val="single"/>
        </w:rPr>
      </w:pPr>
    </w:p>
    <w:p w14:paraId="15C1ACEE" w14:textId="3858003F" w:rsidR="00AA596A" w:rsidRPr="00A641B8" w:rsidRDefault="00AA596A" w:rsidP="00A641B8">
      <w:pPr>
        <w:suppressAutoHyphens/>
        <w:spacing w:after="240"/>
        <w:ind w:left="1"/>
        <w:outlineLvl w:val="0"/>
        <w:rPr>
          <w:rFonts w:ascii="Verdana" w:hAnsi="Verdana" w:cs="Calibri"/>
          <w:b/>
          <w:u w:val="single"/>
        </w:rPr>
      </w:pPr>
      <w:r w:rsidRPr="00803563">
        <w:rPr>
          <w:b/>
          <w:u w:val="single"/>
        </w:rPr>
        <w:t xml:space="preserve">This Directive </w:t>
      </w:r>
      <w:proofErr w:type="gramStart"/>
      <w:r w:rsidRPr="00803563">
        <w:rPr>
          <w:b/>
          <w:u w:val="single"/>
        </w:rPr>
        <w:t>is addressed</w:t>
      </w:r>
      <w:proofErr w:type="gramEnd"/>
      <w:r w:rsidRPr="00803563">
        <w:rPr>
          <w:b/>
          <w:u w:val="single"/>
        </w:rPr>
        <w:t xml:space="preserve"> to the Member States.</w:t>
      </w:r>
      <w:bookmarkStart w:id="1" w:name="_GoBack"/>
      <w:bookmarkEnd w:id="1"/>
    </w:p>
    <w:p w14:paraId="0F37D6E1" w14:textId="77777777" w:rsidR="00AA596A" w:rsidRDefault="00AA596A" w:rsidP="00AA596A">
      <w:pPr>
        <w:pStyle w:val="Fait"/>
        <w:rPr>
          <w:noProof/>
        </w:rPr>
      </w:pPr>
      <w:r w:rsidRPr="009F6620">
        <w:t>Done at Brussels,</w:t>
      </w:r>
    </w:p>
    <w:p w14:paraId="6C3B3068" w14:textId="77777777" w:rsidR="00AA596A" w:rsidRDefault="00AA596A" w:rsidP="00AA596A">
      <w:pPr>
        <w:pStyle w:val="Institutionquisigne"/>
        <w:rPr>
          <w:noProof/>
        </w:rPr>
      </w:pPr>
      <w:r w:rsidRPr="00C81935">
        <w:rPr>
          <w:noProof/>
        </w:rPr>
        <w:t>For the European Parliament</w:t>
      </w:r>
      <w:r w:rsidRPr="00C81935">
        <w:rPr>
          <w:noProof/>
        </w:rPr>
        <w:tab/>
        <w:t>For the Council</w:t>
      </w:r>
    </w:p>
    <w:p w14:paraId="35BCE83D" w14:textId="77777777" w:rsidR="00AA596A" w:rsidRPr="00C81935" w:rsidRDefault="00AA596A" w:rsidP="00AA596A">
      <w:pPr>
        <w:pStyle w:val="Personnequisigne"/>
        <w:rPr>
          <w:noProof/>
        </w:rPr>
      </w:pPr>
      <w:r w:rsidRPr="00C81935">
        <w:rPr>
          <w:noProof/>
        </w:rPr>
        <w:t>The President</w:t>
      </w:r>
      <w:r w:rsidRPr="00C81935">
        <w:rPr>
          <w:noProof/>
        </w:rPr>
        <w:tab/>
        <w:t>The President</w:t>
      </w:r>
    </w:p>
    <w:p w14:paraId="1D22F2B9" w14:textId="77777777" w:rsidR="00AA596A" w:rsidRPr="00AA596A" w:rsidRDefault="00AA596A" w:rsidP="00AA596A">
      <w:pPr>
        <w:pStyle w:val="FinalLine"/>
      </w:pPr>
    </w:p>
    <w:sectPr w:rsidR="00AA596A" w:rsidRPr="00AA596A" w:rsidSect="00AA596A">
      <w:footerReference w:type="default" r:id="rId8"/>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17185" w14:textId="77777777" w:rsidR="00EF1EB8" w:rsidRDefault="00EF1EB8" w:rsidP="001B675E">
      <w:pPr>
        <w:spacing w:before="0" w:after="0" w:line="240" w:lineRule="auto"/>
      </w:pPr>
      <w:r>
        <w:separator/>
      </w:r>
    </w:p>
  </w:endnote>
  <w:endnote w:type="continuationSeparator" w:id="0">
    <w:p w14:paraId="28B78BA6" w14:textId="77777777" w:rsidR="00EF1EB8" w:rsidRDefault="00EF1EB8" w:rsidP="001B675E">
      <w:pPr>
        <w:spacing w:before="0" w:after="0" w:line="240" w:lineRule="auto"/>
      </w:pPr>
      <w:r>
        <w:continuationSeparator/>
      </w:r>
    </w:p>
  </w:endnote>
  <w:endnote w:type="continuationNotice" w:id="1">
    <w:p w14:paraId="3CF65674" w14:textId="77777777" w:rsidR="00EF1EB8" w:rsidRDefault="00EF1E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9639"/>
    </w:tblGrid>
    <w:tr w:rsidR="00AA596A" w:rsidRPr="00D94637" w14:paraId="75F92967" w14:textId="77777777" w:rsidTr="00AA596A">
      <w:trPr>
        <w:jc w:val="center"/>
      </w:trPr>
      <w:tc>
        <w:tcPr>
          <w:tcW w:w="5000" w:type="pct"/>
          <w:shd w:val="clear" w:color="auto" w:fill="auto"/>
          <w:tcMar>
            <w:top w:w="57" w:type="dxa"/>
          </w:tcMar>
        </w:tcPr>
        <w:p w14:paraId="42669F46" w14:textId="77777777" w:rsidR="00AA596A" w:rsidRPr="00D94637" w:rsidRDefault="00AA596A" w:rsidP="00D94637">
          <w:pPr>
            <w:pStyle w:val="FooterText"/>
            <w:pBdr>
              <w:top w:val="single" w:sz="4" w:space="1" w:color="auto"/>
            </w:pBdr>
            <w:spacing w:before="200"/>
            <w:rPr>
              <w:sz w:val="2"/>
              <w:szCs w:val="2"/>
            </w:rPr>
          </w:pPr>
        </w:p>
      </w:tc>
    </w:tr>
  </w:tbl>
  <w:p w14:paraId="649644F4" w14:textId="77777777" w:rsidR="00AA596A" w:rsidRPr="00AA596A" w:rsidRDefault="00AA596A" w:rsidP="00AA596A">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CCD02" w14:textId="77777777" w:rsidR="00EF1EB8" w:rsidRDefault="00EF1EB8" w:rsidP="008D3C9A">
      <w:pPr>
        <w:spacing w:before="0" w:after="0" w:line="240" w:lineRule="auto"/>
      </w:pPr>
      <w:r>
        <w:separator/>
      </w:r>
    </w:p>
  </w:footnote>
  <w:footnote w:type="continuationSeparator" w:id="0">
    <w:p w14:paraId="7F13AC84" w14:textId="77777777" w:rsidR="00EF1EB8" w:rsidRDefault="00EF1EB8" w:rsidP="00EC3B25">
      <w:pPr>
        <w:spacing w:before="0" w:after="0" w:line="240" w:lineRule="auto"/>
      </w:pPr>
      <w:r>
        <w:continuationSeparator/>
      </w:r>
    </w:p>
  </w:footnote>
  <w:footnote w:id="1">
    <w:p w14:paraId="2B2639B6" w14:textId="77777777" w:rsidR="00AA596A" w:rsidRPr="00C21E29" w:rsidRDefault="00AA596A" w:rsidP="00AA596A">
      <w:pPr>
        <w:pStyle w:val="FootnoteText"/>
      </w:pPr>
      <w:r>
        <w:rPr>
          <w:rStyle w:val="FootnoteReference"/>
        </w:rPr>
        <w:footnoteRef/>
      </w:r>
      <w:r w:rsidRPr="00216908">
        <w:tab/>
        <w:t>OJ C […], […], p. […].</w:t>
      </w:r>
    </w:p>
  </w:footnote>
  <w:footnote w:id="2">
    <w:p w14:paraId="7480D4E1" w14:textId="77777777" w:rsidR="00AA596A" w:rsidRPr="00E45539" w:rsidRDefault="00AA596A" w:rsidP="00AA596A">
      <w:pPr>
        <w:pStyle w:val="FootnoteText"/>
        <w:rPr>
          <w:lang w:val="en-IE"/>
        </w:rPr>
      </w:pPr>
      <w:r w:rsidRPr="00E45539">
        <w:rPr>
          <w:rStyle w:val="FootnoteReference"/>
        </w:rPr>
        <w:footnoteRef/>
      </w:r>
      <w:r w:rsidRPr="00216908">
        <w:tab/>
      </w:r>
      <w:r w:rsidRPr="00216908">
        <w:rPr>
          <w:lang w:val="en-IE"/>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footnote>
  <w:footnote w:id="3">
    <w:p w14:paraId="0D73ACCF" w14:textId="77777777" w:rsidR="00AA596A" w:rsidRPr="00E45539" w:rsidRDefault="00AA596A" w:rsidP="00AA596A">
      <w:pPr>
        <w:pStyle w:val="FootnoteText"/>
        <w:rPr>
          <w:i/>
          <w:iCs/>
          <w:lang w:val="en-US"/>
        </w:rPr>
      </w:pPr>
      <w:r w:rsidRPr="00E45539">
        <w:rPr>
          <w:rStyle w:val="FootnoteReference"/>
        </w:rPr>
        <w:footnoteRef/>
      </w:r>
      <w:r w:rsidRPr="00216908">
        <w:tab/>
      </w:r>
      <w:r w:rsidRPr="00216908">
        <w:rPr>
          <w:lang w:val="en-US"/>
        </w:rPr>
        <w:t>[</w:t>
      </w:r>
      <w:r w:rsidRPr="00216908">
        <w:rPr>
          <w:i/>
          <w:iCs/>
          <w:lang w:val="en-US"/>
        </w:rPr>
        <w:t>Publications office, please insert the full reference to this Delegated Act, once published: COMMISSION DELEGATED REGULATION (EU) …/… of 31.7.2023 supplementing Directive 2013/34/EU of the European Parliament and of the Council as regards sustainability reporting standards (</w:t>
      </w:r>
      <w:proofErr w:type="gramStart"/>
      <w:r w:rsidRPr="00216908">
        <w:rPr>
          <w:i/>
          <w:iCs/>
          <w:lang w:val="en-US"/>
        </w:rPr>
        <w:t>C(</w:t>
      </w:r>
      <w:proofErr w:type="gramEnd"/>
      <w:r w:rsidRPr="00216908">
        <w:rPr>
          <w:i/>
          <w:iCs/>
          <w:lang w:val="en-US"/>
        </w:rPr>
        <w:t>2023) 5303 final)</w:t>
      </w:r>
      <w:r w:rsidRPr="00216908">
        <w:rPr>
          <w:lang w:val="en-US"/>
        </w:rPr>
        <w:t>].</w:t>
      </w:r>
    </w:p>
  </w:footnote>
  <w:footnote w:id="4">
    <w:p w14:paraId="29B9386C" w14:textId="77777777" w:rsidR="00AA596A" w:rsidRPr="00E744A8" w:rsidRDefault="00AA596A" w:rsidP="00AA596A">
      <w:pPr>
        <w:pStyle w:val="FootnoteText"/>
        <w:rPr>
          <w:lang w:val="fr-BE"/>
        </w:rPr>
      </w:pPr>
      <w:r w:rsidRPr="00A30345">
        <w:rPr>
          <w:rStyle w:val="FootnoteReference"/>
        </w:rPr>
        <w:footnoteRef/>
      </w:r>
      <w:r w:rsidRPr="00216908">
        <w:tab/>
      </w:r>
      <w:proofErr w:type="gramStart"/>
      <w:r w:rsidRPr="00216908">
        <w:t>COM(</w:t>
      </w:r>
      <w:proofErr w:type="gramEnd"/>
      <w:r w:rsidRPr="00216908">
        <w:t>2023)168.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5F3E"/>
    <w:multiLevelType w:val="hybridMultilevel"/>
    <w:tmpl w:val="AAEA62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3"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4"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6" w15:restartNumberingAfterBreak="0">
    <w:nsid w:val="19980151"/>
    <w:multiLevelType w:val="hybridMultilevel"/>
    <w:tmpl w:val="92A4091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8" w15:restartNumberingAfterBreak="0">
    <w:nsid w:val="21B84201"/>
    <w:multiLevelType w:val="hybridMultilevel"/>
    <w:tmpl w:val="2B40B54A"/>
    <w:lvl w:ilvl="0" w:tplc="2E62DAF6">
      <w:start w:val="3"/>
      <w:numFmt w:val="bullet"/>
      <w:lvlText w:val="-"/>
      <w:lvlJc w:val="left"/>
      <w:pPr>
        <w:ind w:left="1080" w:hanging="360"/>
      </w:pPr>
      <w:rPr>
        <w:rFonts w:ascii="Times New Roman" w:eastAsiaTheme="minorHAns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23D738B2"/>
    <w:multiLevelType w:val="hybridMultilevel"/>
    <w:tmpl w:val="18BC48F6"/>
    <w:lvl w:ilvl="0" w:tplc="17EABCF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0516A7"/>
    <w:multiLevelType w:val="hybridMultilevel"/>
    <w:tmpl w:val="F48638C6"/>
    <w:lvl w:ilvl="0" w:tplc="668EAEF6">
      <w:start w:val="1"/>
      <w:numFmt w:val="decimal"/>
      <w:lvlText w:val="%1."/>
      <w:lvlJc w:val="left"/>
      <w:pPr>
        <w:ind w:left="720" w:hanging="360"/>
      </w:pPr>
      <w:rPr>
        <w:b/>
        <w:bCs w:val="0"/>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F39590C"/>
    <w:multiLevelType w:val="hybridMultilevel"/>
    <w:tmpl w:val="8C7038E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FF869D1"/>
    <w:multiLevelType w:val="hybridMultilevel"/>
    <w:tmpl w:val="5B02D24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17" w15:restartNumberingAfterBreak="0">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8"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20"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3" w15:restartNumberingAfterBreak="0">
    <w:nsid w:val="5FE80D06"/>
    <w:multiLevelType w:val="hybridMultilevel"/>
    <w:tmpl w:val="8EB88E74"/>
    <w:lvl w:ilvl="0" w:tplc="041D0001">
      <w:start w:val="1"/>
      <w:numFmt w:val="bullet"/>
      <w:lvlText w:val=""/>
      <w:lvlJc w:val="left"/>
      <w:pPr>
        <w:ind w:left="2137" w:hanging="360"/>
      </w:pPr>
      <w:rPr>
        <w:rFonts w:ascii="Symbol" w:hAnsi="Symbol" w:hint="default"/>
      </w:rPr>
    </w:lvl>
    <w:lvl w:ilvl="1" w:tplc="041D0003" w:tentative="1">
      <w:start w:val="1"/>
      <w:numFmt w:val="bullet"/>
      <w:lvlText w:val="o"/>
      <w:lvlJc w:val="left"/>
      <w:pPr>
        <w:ind w:left="2857" w:hanging="360"/>
      </w:pPr>
      <w:rPr>
        <w:rFonts w:ascii="Courier New" w:hAnsi="Courier New" w:cs="Courier New" w:hint="default"/>
      </w:rPr>
    </w:lvl>
    <w:lvl w:ilvl="2" w:tplc="041D0005" w:tentative="1">
      <w:start w:val="1"/>
      <w:numFmt w:val="bullet"/>
      <w:lvlText w:val=""/>
      <w:lvlJc w:val="left"/>
      <w:pPr>
        <w:ind w:left="3577" w:hanging="360"/>
      </w:pPr>
      <w:rPr>
        <w:rFonts w:ascii="Wingdings" w:hAnsi="Wingdings" w:hint="default"/>
      </w:rPr>
    </w:lvl>
    <w:lvl w:ilvl="3" w:tplc="041D0001" w:tentative="1">
      <w:start w:val="1"/>
      <w:numFmt w:val="bullet"/>
      <w:lvlText w:val=""/>
      <w:lvlJc w:val="left"/>
      <w:pPr>
        <w:ind w:left="4297" w:hanging="360"/>
      </w:pPr>
      <w:rPr>
        <w:rFonts w:ascii="Symbol" w:hAnsi="Symbol" w:hint="default"/>
      </w:rPr>
    </w:lvl>
    <w:lvl w:ilvl="4" w:tplc="041D0003" w:tentative="1">
      <w:start w:val="1"/>
      <w:numFmt w:val="bullet"/>
      <w:lvlText w:val="o"/>
      <w:lvlJc w:val="left"/>
      <w:pPr>
        <w:ind w:left="5017" w:hanging="360"/>
      </w:pPr>
      <w:rPr>
        <w:rFonts w:ascii="Courier New" w:hAnsi="Courier New" w:cs="Courier New" w:hint="default"/>
      </w:rPr>
    </w:lvl>
    <w:lvl w:ilvl="5" w:tplc="041D0005" w:tentative="1">
      <w:start w:val="1"/>
      <w:numFmt w:val="bullet"/>
      <w:lvlText w:val=""/>
      <w:lvlJc w:val="left"/>
      <w:pPr>
        <w:ind w:left="5737" w:hanging="360"/>
      </w:pPr>
      <w:rPr>
        <w:rFonts w:ascii="Wingdings" w:hAnsi="Wingdings" w:hint="default"/>
      </w:rPr>
    </w:lvl>
    <w:lvl w:ilvl="6" w:tplc="041D0001" w:tentative="1">
      <w:start w:val="1"/>
      <w:numFmt w:val="bullet"/>
      <w:lvlText w:val=""/>
      <w:lvlJc w:val="left"/>
      <w:pPr>
        <w:ind w:left="6457" w:hanging="360"/>
      </w:pPr>
      <w:rPr>
        <w:rFonts w:ascii="Symbol" w:hAnsi="Symbol" w:hint="default"/>
      </w:rPr>
    </w:lvl>
    <w:lvl w:ilvl="7" w:tplc="041D0003" w:tentative="1">
      <w:start w:val="1"/>
      <w:numFmt w:val="bullet"/>
      <w:lvlText w:val="o"/>
      <w:lvlJc w:val="left"/>
      <w:pPr>
        <w:ind w:left="7177" w:hanging="360"/>
      </w:pPr>
      <w:rPr>
        <w:rFonts w:ascii="Courier New" w:hAnsi="Courier New" w:cs="Courier New" w:hint="default"/>
      </w:rPr>
    </w:lvl>
    <w:lvl w:ilvl="8" w:tplc="041D0005" w:tentative="1">
      <w:start w:val="1"/>
      <w:numFmt w:val="bullet"/>
      <w:lvlText w:val=""/>
      <w:lvlJc w:val="left"/>
      <w:pPr>
        <w:ind w:left="7897" w:hanging="360"/>
      </w:pPr>
      <w:rPr>
        <w:rFonts w:ascii="Wingdings" w:hAnsi="Wingdings" w:hint="default"/>
      </w:rPr>
    </w:lvl>
  </w:abstractNum>
  <w:abstractNum w:abstractNumId="24"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25"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26" w15:restartNumberingAfterBreak="0">
    <w:nsid w:val="6C7D4F3A"/>
    <w:multiLevelType w:val="hybridMultilevel"/>
    <w:tmpl w:val="88549290"/>
    <w:lvl w:ilvl="0" w:tplc="2E62DAF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28"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9" w15:restartNumberingAfterBreak="0">
    <w:nsid w:val="75227951"/>
    <w:multiLevelType w:val="hybridMultilevel"/>
    <w:tmpl w:val="CF7EB730"/>
    <w:lvl w:ilvl="0" w:tplc="080C000F">
      <w:start w:val="1"/>
      <w:numFmt w:val="decimal"/>
      <w:lvlText w:val="%1."/>
      <w:lvlJc w:val="left"/>
      <w:pPr>
        <w:ind w:left="8157" w:hanging="360"/>
      </w:pPr>
    </w:lvl>
    <w:lvl w:ilvl="1" w:tplc="080C0001">
      <w:start w:val="1"/>
      <w:numFmt w:val="bullet"/>
      <w:lvlText w:val=""/>
      <w:lvlJc w:val="left"/>
      <w:pPr>
        <w:ind w:left="8877" w:hanging="360"/>
      </w:pPr>
      <w:rPr>
        <w:rFonts w:ascii="Symbol" w:hAnsi="Symbol" w:hint="default"/>
      </w:rPr>
    </w:lvl>
    <w:lvl w:ilvl="2" w:tplc="080C001B" w:tentative="1">
      <w:start w:val="1"/>
      <w:numFmt w:val="lowerRoman"/>
      <w:lvlText w:val="%3."/>
      <w:lvlJc w:val="right"/>
      <w:pPr>
        <w:ind w:left="9597" w:hanging="180"/>
      </w:pPr>
    </w:lvl>
    <w:lvl w:ilvl="3" w:tplc="080C000F" w:tentative="1">
      <w:start w:val="1"/>
      <w:numFmt w:val="decimal"/>
      <w:lvlText w:val="%4."/>
      <w:lvlJc w:val="left"/>
      <w:pPr>
        <w:ind w:left="10317" w:hanging="360"/>
      </w:pPr>
    </w:lvl>
    <w:lvl w:ilvl="4" w:tplc="080C0019" w:tentative="1">
      <w:start w:val="1"/>
      <w:numFmt w:val="lowerLetter"/>
      <w:lvlText w:val="%5."/>
      <w:lvlJc w:val="left"/>
      <w:pPr>
        <w:ind w:left="11037" w:hanging="360"/>
      </w:pPr>
    </w:lvl>
    <w:lvl w:ilvl="5" w:tplc="080C001B" w:tentative="1">
      <w:start w:val="1"/>
      <w:numFmt w:val="lowerRoman"/>
      <w:lvlText w:val="%6."/>
      <w:lvlJc w:val="right"/>
      <w:pPr>
        <w:ind w:left="11757" w:hanging="180"/>
      </w:pPr>
    </w:lvl>
    <w:lvl w:ilvl="6" w:tplc="080C000F" w:tentative="1">
      <w:start w:val="1"/>
      <w:numFmt w:val="decimal"/>
      <w:lvlText w:val="%7."/>
      <w:lvlJc w:val="left"/>
      <w:pPr>
        <w:ind w:left="12477" w:hanging="360"/>
      </w:pPr>
    </w:lvl>
    <w:lvl w:ilvl="7" w:tplc="080C0019" w:tentative="1">
      <w:start w:val="1"/>
      <w:numFmt w:val="lowerLetter"/>
      <w:lvlText w:val="%8."/>
      <w:lvlJc w:val="left"/>
      <w:pPr>
        <w:ind w:left="13197" w:hanging="360"/>
      </w:pPr>
    </w:lvl>
    <w:lvl w:ilvl="8" w:tplc="080C001B" w:tentative="1">
      <w:start w:val="1"/>
      <w:numFmt w:val="lowerRoman"/>
      <w:lvlText w:val="%9."/>
      <w:lvlJc w:val="right"/>
      <w:pPr>
        <w:ind w:left="13917" w:hanging="180"/>
      </w:pPr>
    </w:lvl>
  </w:abstractNum>
  <w:abstractNum w:abstractNumId="30"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31"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32"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33"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27"/>
  </w:num>
  <w:num w:numId="2">
    <w:abstractNumId w:val="2"/>
  </w:num>
  <w:num w:numId="3">
    <w:abstractNumId w:val="28"/>
  </w:num>
  <w:num w:numId="4">
    <w:abstractNumId w:val="22"/>
  </w:num>
  <w:num w:numId="5">
    <w:abstractNumId w:val="3"/>
  </w:num>
  <w:num w:numId="6">
    <w:abstractNumId w:val="31"/>
  </w:num>
  <w:num w:numId="7">
    <w:abstractNumId w:val="33"/>
  </w:num>
  <w:num w:numId="8">
    <w:abstractNumId w:val="19"/>
  </w:num>
  <w:num w:numId="9">
    <w:abstractNumId w:val="30"/>
  </w:num>
  <w:num w:numId="10">
    <w:abstractNumId w:val="24"/>
  </w:num>
  <w:num w:numId="11">
    <w:abstractNumId w:val="16"/>
  </w:num>
  <w:num w:numId="12">
    <w:abstractNumId w:val="7"/>
  </w:num>
  <w:num w:numId="13">
    <w:abstractNumId w:val="5"/>
  </w:num>
  <w:num w:numId="14">
    <w:abstractNumId w:val="25"/>
  </w:num>
  <w:num w:numId="15">
    <w:abstractNumId w:val="32"/>
  </w:num>
  <w:num w:numId="16">
    <w:abstractNumId w:val="1"/>
  </w:num>
  <w:num w:numId="17">
    <w:abstractNumId w:val="10"/>
  </w:num>
  <w:num w:numId="18">
    <w:abstractNumId w:val="4"/>
  </w:num>
  <w:num w:numId="19">
    <w:abstractNumId w:val="12"/>
  </w:num>
  <w:num w:numId="20">
    <w:abstractNumId w:val="20"/>
  </w:num>
  <w:num w:numId="21">
    <w:abstractNumId w:val="23"/>
  </w:num>
  <w:num w:numId="22">
    <w:abstractNumId w:val="0"/>
  </w:num>
  <w:num w:numId="23">
    <w:abstractNumId w:val="11"/>
  </w:num>
  <w:num w:numId="24">
    <w:abstractNumId w:val="6"/>
  </w:num>
  <w:num w:numId="25">
    <w:abstractNumId w:val="15"/>
  </w:num>
  <w:num w:numId="26">
    <w:abstractNumId w:val="13"/>
  </w:num>
  <w:num w:numId="27">
    <w:abstractNumId w:val="17"/>
  </w:num>
  <w:num w:numId="28">
    <w:abstractNumId w:val="9"/>
  </w:num>
  <w:num w:numId="29">
    <w:abstractNumId w:val="26"/>
  </w:num>
  <w:num w:numId="30">
    <w:abstractNumId w:val="14"/>
  </w:num>
  <w:num w:numId="31">
    <w:abstractNumId w:val="2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revisionView w:inkAnnotations="0"/>
  <w:defaultTabStop w:val="567"/>
  <w:hyphenationZone w:val="425"/>
  <w:characterSpacingControl w:val="doNotCompress"/>
  <w:hdrShapeDefaults>
    <o:shapedefaults v:ext="edit" spidmax="2051"/>
  </w:hdrShapeDefaults>
  <w:footnotePr>
    <w:footnote w:id="-1"/>
    <w:footnote w:id="0"/>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DocuWriteMetaData" w:val="&lt;metadataset docuwriteversion=&quot;4.8.5&quot; technicalblockguid=&quot;4714069627297303491&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40&quot; text=&quot;'I' ITEM NOTE&quot; /&gt;_x000d__x000a_    &lt;/basicdatatype&gt;_x000d__x000a_  &lt;/metadata&gt;_x000d__x000a_  &lt;metadata key=&quot;md_HeadingText&quot;&gt;_x000d__x000a_    &lt;headingtext text=&quot;'I' ITEM NOTE&quot;&gt;_x000d__x000a_      &lt;formattedtext&gt;_x000d__x000a_        &lt;xaml text=&quot;'I' ITEM NOTE&quot;&gt;&amp;lt;FlowDocument xmlns=&quot;http://schemas.microsoft.com/winfx/2006/xaml/presentation&quot;&amp;gt;&amp;lt;Paragraph&amp;gt;'I' ITEM NOTE&amp;lt;/Paragraph&amp;gt;&amp;lt;/FlowDocument&amp;gt;&lt;/xaml&gt;_x000d__x000a_      &lt;/formattedtext&gt;_x000d__x000a_    &lt;/headingtext&gt;_x000d__x000a_  &lt;/metadata&gt;_x000d__x000a_  &lt;metadata key=&quot;md_CustomFootnote&quot;&gt;_x000d__x000a_    &lt;text&gt;&lt;/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4-01-12&lt;/text&gt;_x000d__x000a_  &lt;/metadata&gt;_x000d__x000a_  &lt;metadata key=&quot;md_Prefix&quot;&gt;_x000d__x000a_    &lt;text&gt;&lt;/text&gt;_x000d__x000a_  &lt;/metadata&gt;_x000d__x000a_  &lt;metadata key=&quot;md_DocumentNumber&quot;&gt;_x000d__x000a_    &lt;text&gt;5284&lt;/text&gt;_x000d__x000a_  &lt;/metadata&gt;_x000d__x000a_  &lt;metadata key=&quot;md_YearDocumentNumber&quot;&gt;_x000d__x000a_    &lt;text&gt;2024&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DRS 5&lt;/text&gt;_x000d__x000a_      &lt;text&gt;EF 11&lt;/text&gt;_x000d__x000a_      &lt;text&gt;ECOFIN 34&lt;/text&gt;_x000d__x000a_      &lt;text&gt;SUSTDEV 4&lt;/text&gt;_x000d__x000a_      &lt;text&gt;COMPET 35&lt;/text&gt;_x000d__x000a_      &lt;text&gt;CODEC 45&lt;/text&gt;_x000d__x000a_    &lt;/textlist&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gt;_x000d__x000a_    &lt;basicdatatype&gt;_x000d__x000a_      &lt;meetingvenue key=&quot;&quot; /&gt;_x000d__x000a_    &lt;/basicdatatype&gt;_x000d__x000a_  &lt;/metadata&gt;_x000d__x000a_  &lt;metadata key=&quot;md_ProvisionalVersion&quot;&gt;_x000d__x000a_    &lt;text&gt;&lt;/text&gt;_x000d__x000a_  &lt;/metadata&gt;_x000d__x000a_  &lt;metadata key=&quot;md_PresidentInformation&quot;&gt;_x000d__x000a_    &lt;presidents /&gt;_x000d__x000a_  &lt;/metadata&gt;_x000d__x000a_  &lt;metadata key=&quot;md_MeetingNumber&quot;&gt;_x000d__x000a_    &lt;text&gt;&lt;/text&gt;_x000d__x000a_  &lt;/metadata&gt;_x000d__x000a_  &lt;metadata key=&quot;md_CouncilConfiguration&quot;&gt;_x000d__x000a_    &lt;basicdatatype&gt;_x000d__x000a_      &lt;configuration key=&quot;&quot; /&gt;_x000d__x000a_    &lt;/basicdatatype&gt;_x000d__x000a_  &lt;/metadata&gt;_x000d__x000a_  &lt;metadata key=&quot;md_CouncilIssue&quot;&gt;_x000d__x000a_    &lt;text&gt;&lt;/text&gt;_x000d__x000a_  &lt;/metadata&gt;_x000d__x000a_  &lt;metadata key=&quot;md_PhoneNumber&quot;&gt;_x000d__x000a_    &lt;text&gt;&lt;/text&gt;_x000d__x000a_  &lt;/metadata&gt;_x000d__x000a_  &lt;metadata key=&quot;md_TypeOfHeading&quot;&gt;_x000d__x000a_    &lt;basicdatatype&gt;_x000d__x000a_      &lt;typeofheading key=&quot;typeofhead_06&quot; text=&quot;Other&quot; /&gt;_x000d__x000a_    &lt;/basicdatatype&gt;_x000d__x000a_  &lt;/metadata&gt;_x000d__x000a_  &lt;metadata key=&quot;md_ReplyName&quot;&gt;_x000d__x000a_    &lt;text&gt;&lt;/text&gt;_x000d__x000a_  &lt;/metadata&gt;_x000d__x000a_  &lt;metadata key=&quot;md_EPQuestionsData&quot; /&gt;_x000d__x000a_  &lt;metadata key=&quot;md_Deadline&quot;&gt;_x000d__x000a_    &lt;textlist /&gt;_x000d__x000a_  &lt;/metadata&gt;_x000d__x000a_  &lt;metadata key=&quot;md_InterinstitutionalFiles&quot;&gt;_x000d__x000a_    &lt;textlist&gt;_x000d__x000a_      &lt;text&gt;2023/0368(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8&quot; text=&quot;Permanent Representatives Committee&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gt;_x000d__x000a_      &lt;text&gt;14574/23&lt;/text&gt;_x000d__x000a_    &lt;/textlist&gt;_x000d__x000a_  &lt;/metadata&gt;_x000d__x000a_  &lt;metadata key=&quot;md_CommissionDocuments&quot;&gt;_x000d__x000a_    &lt;textlist&gt;_x000d__x000a_      &lt;text&gt;596/23&lt;/text&gt;_x000d__x000a_    &lt;/textlist&gt;_x000d__x000a_  &lt;/metadata&gt;_x000d__x000a_  &lt;metadata key=&quot;md_DocForDWNDCL&quot;&gt;_x000d__x000a_    &lt;text&gt;&lt;/text&gt;_x000d__x000a_  &lt;/metadata&gt;_x000d__x000a_  &lt;metadata key=&quot;md_Distribution_NewClassification&quot;&gt;_x000d__x000a_    &lt;text&gt;&lt;/text&gt;_x000d__x000a_  &lt;/metadata&gt;_x000d__x000a_  &lt;metadata key=&quot;md_DWNDCLAuthorization&quot;&gt;_x000d__x000a_    &lt;text&gt;&lt;/text&gt;_x000d__x000a_  &lt;/metadata&gt;_x000d__x000a_  &lt;metadata key=&quot;md_DateOfAuthorization&quot;&gt;_x000d__x000a_    &lt;text&gt;&lt;/text&gt;_x000d__x000a_  &lt;/metadata&gt;_x000d__x000a_  &lt;metadata key=&quot;md_MeetingLocation&quot;&gt;_x000d__x000a_    &lt;basicdatatype&gt;_x000d__x000a_      &lt;location key=&quot;&quot; /&gt;_x000d__x000a_    &lt;/basicdatatype&gt;_x000d__x000a_  &lt;/metadata&gt;_x000d__x000a_  &lt;metadata key=&quot;md_MeetingDate&quot;&gt;_x000d__x000a_    &lt;textlist /&gt;_x000d__x000a_  &lt;/metadata&gt;_x000d__x000a_  &lt;metadata key=&quot;md_DateFormatOr&quot;&gt;_x000d__x000a_    &lt;text&gt;&lt;/text&gt;_x000d__x000a_  &lt;/metadata&gt;_x000d__x000a_  &lt;metadata key=&quot;md_MeetingInformation&quot;&gt;_x000d__x000a_    &lt;text&gt;&lt;/text&gt;_x000d__x000a_  &lt;/metadata&gt;_x000d__x000a_  &lt;metadata key=&quot;md_Item&quot;&gt;_x000d__x000a_    &lt;text&gt;&lt;/text&gt;_x000d__x000a_  &lt;/metadata&gt;_x000d__x000a_  &lt;metadata key=&quot;md_SubjectPrefix&quot;&gt;_x000d__x000a_    &lt;text&gt;&lt;/text&gt;_x000d__x000a_  &lt;/metadata&gt;_x000d__x000a_  &lt;metadata key=&quot;md_Subject&quot;&gt;_x000d__x000a_    &lt;xaml text=&quot;Proposal for a DECISION OF THE EUROPEAN PARLIAMENT AND OF THE COUNCIL amending Directive 2013/34/EU as regards the time limits for the adoption of sustainability reporting standards for certain sectors and for certain third-country undertakings - Mandate for negotiations with the European Parliament&quot;&gt;&amp;lt;FlowDocument FontFamily=&quot;Segoe UI&quot; FontSize=&quot;12&quot; LineHeight=&quot;6&quot; PageWidth=&quot;329&quot; PagePadding=&quot;2,2,2,2&quot; AllowDrop=&quot;False&quot; xmlns=&quot;http://schemas.microsoft.com/winfx/2006/xaml/presentation&quot;&amp;gt;&amp;lt;Paragraph LineHeight=&quot;6&quot; FontFamily=&quot;Arial Unicode MS&quot; FontSize=&quot;12&quot;&amp;gt;Proposal for a DECISION OF THE EUROPEAN PARLIAMENT AND OF THE COUNCIL amending Directive 2013/34/EU as regards the time limits for the adoption of sustainability reporting standards for certain sectors and for certain third-country undertakings&amp;lt;/Paragraph&amp;gt;&amp;lt;Paragraph LineHeight=&quot;6&quot; FontFamily=&quot;Arial Unicode MS&quot; FontSize=&quot;12&quot;&amp;gt;&amp;lt;Run xml:lang=&quot;fr-be&quot;&amp;gt;- Mandate for negotiations with the European Parliament&amp;lt;/Run&amp;gt;&amp;lt;/Paragraph&amp;gt;&amp;lt;/FlowDocument&amp;gt;&lt;/xaml&gt;_x000d__x000a_  &lt;/metadata&gt;_x000d__x000a_  &lt;metadata key=&quot;md_SubjectFootnote&quot; /&gt;_x000d__x000a_  &lt;metadata key=&quot;md_DG&quot;&gt;_x000d__x000a_    &lt;text&gt;COMPET 2&lt;/text&gt;_x000d__x000a_  &lt;/metadata&gt;_x000d__x000a_  &lt;metadata key=&quot;md_Initials&quot;&gt;_x000d__x000a_    &lt;text&gt;PB/MVG/ed&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4&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gt;_x000d__x000a_    &lt;text&gt;&lt;/text&gt;_x000d__x000a_  &lt;/metadata&gt;_x000d__x000a_  &lt;metadata key=&quot;md_NB2&quot;&gt;_x000d__x000a_    &lt;text&gt;&lt;/text&gt;_x000d__x000a_  &lt;/metadata&gt;_x000d__x000a_  &lt;metadata key=&quot;md_NB3&quot;&gt;_x000d__x000a_    &lt;text&gt;&lt;/text&gt;_x000d__x000a_  &lt;/metadata&gt;_x000d__x000a_  &lt;metadata key=&quot;md_NB4&quot;&gt;_x000d__x000a_    &lt;text&gt;&lt;/text&gt;_x000d__x000a_  &lt;/metadata&gt;_x000d__x000a_  &lt;metadata key=&quot;md_NB5&quot;&gt;_x000d__x000a_    &lt;text&gt;&lt;/text&gt;_x000d__x000a_  &lt;/metadata&gt;_x000d__x000a_  &lt;metadata key=&quot;md_CustomNB&quot;&gt;_x000d__x000a_    &lt;textlist /&gt;_x000d__x000a_  &lt;/metadata&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gt;_x000d__x000a_    &lt;letterdata letterid=&quot;&quot; tag=&quot;&quot; /&gt;_x000d__x000a_  &lt;/metadata&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gt;_x000d__x000a_    &lt;text&gt;&lt;/text&gt;_x000d__x000a_  &lt;/metadata&gt;_x000d__x000a_  &lt;metadata key=&quot;md_Caveat&quot;&gt;_x000d__x000a_    &lt;text&gt;&lt;/text&gt;_x000d__x000a_  &lt;/metadata&gt;_x000d__x000a_  &lt;metadata key=&quot;md_TechnicalKey&quot; /&gt;_x000d__x000a_&lt;/metadataset&gt;"/>
    <w:docVar w:name="DocuWriteMetaDataSource1" w:val="&lt;metadataset docuwriteversion=&quot;4.8.5&quot; technicalblockguid=&quot;521520987703201214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4-01-10&lt;/text&gt;_x000d__x000a_  &lt;/metadata&gt;_x000d__x000a_  &lt;metadata key=&quot;md_Prefix&quot;&gt;_x000d__x000a_    &lt;text&gt;&lt;/text&gt;_x000d__x000a_  &lt;/metadata&gt;_x000d__x000a_  &lt;metadata key=&quot;md_DocumentNumber&quot;&gt;_x000d__x000a_    &lt;text&gt;5175&lt;/text&gt;_x000d__x000a_  &lt;/metadata&gt;_x000d__x000a_  &lt;metadata key=&quot;md_YearDocumentNumber&quot;&gt;_x000d__x000a_    &lt;text&gt;2024&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DRS 24&lt;/text&gt;_x000d__x000a_      &lt;text&gt;COMPET 315&lt;/text&gt;_x000d__x000a_      &lt;text&gt;ECOFIN 321&lt;/text&gt;_x000d__x000a_      &lt;text&gt;EF 95&lt;/text&gt;_x000d__x000a_      &lt;text&gt;CODEC 580&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2/0406(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DRAF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8&quot; text=&quot;Permanent Representatives Committee&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gt;_x000d__x000a_      &lt;text&gt;16047/23&lt;/text&gt;_x000d__x000a_    &lt;/textlist&gt;_x000d__x000a_  &lt;/metadata&gt;_x000d__x000a_  &lt;metadata key=&quot;md_CommissionDocuments&quot;&gt;_x000d__x000a_    &lt;textlist&gt;_x000d__x000a_      &lt;text&gt;16168/22&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oposal for a DIRECTIVE OF THE EUROPEAN PARLIAMENT AND OF THE COUNCIL on multiple-vote share structures in companies that seek the admission to trading of their shares on an SME growth market -  Preparation for the trilogue&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 LineHeight=&quot;6&quot; FontFamily=&quot;Arial Unicode MS&quot; FontSize=&quot;12&quot;&amp;gt;Proposal for a DIRECTIVE OF THE EUROPEAN PARLIAMENT AND OF THE COUNCIL on multiple-vote share structures in companies that seek the admission to trading of their shares on an SME growth market&amp;lt;LineBreak /&amp;gt;- &amp;lt;Run xml:lang=&quot;fr-be&quot; xml:space=&quot;preserve&quot;&amp;gt; Preparation for the trilogue&amp;lt;/Run&amp;gt;&amp;lt;/Paragraph&amp;gt;&amp;lt;/FlowDocument&amp;gt;&lt;/xaml&gt;_x000d__x000a_  &lt;/metadata&gt;_x000d__x000a_  &lt;metadata key=&quot;md_SubjectFootnote&quot; /&gt;_x000d__x000a_  &lt;metadata key=&quot;md_DG&quot;&gt;_x000d__x000a_    &lt;text&gt;COMPET.2&lt;/text&gt;_x000d__x000a_  &lt;/metadata&gt;_x000d__x000a_  &lt;metadata key=&quot;md_Initials&quot;&gt;_x000d__x000a_    &lt;text&gt;MM/DS/ed&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DW_COUNCIL"/>
  </w:docVars>
  <w:rsids>
    <w:rsidRoot w:val="00F22C79"/>
    <w:rsid w:val="000032C8"/>
    <w:rsid w:val="00014F92"/>
    <w:rsid w:val="0001647E"/>
    <w:rsid w:val="00017B03"/>
    <w:rsid w:val="00024D49"/>
    <w:rsid w:val="00026C13"/>
    <w:rsid w:val="00033109"/>
    <w:rsid w:val="00033B83"/>
    <w:rsid w:val="00035AAD"/>
    <w:rsid w:val="00046245"/>
    <w:rsid w:val="00046EF3"/>
    <w:rsid w:val="00047E0E"/>
    <w:rsid w:val="0005267D"/>
    <w:rsid w:val="000546B8"/>
    <w:rsid w:val="000547F0"/>
    <w:rsid w:val="00055EB1"/>
    <w:rsid w:val="0006002E"/>
    <w:rsid w:val="00061041"/>
    <w:rsid w:val="000633A8"/>
    <w:rsid w:val="00063A67"/>
    <w:rsid w:val="000643B8"/>
    <w:rsid w:val="00070085"/>
    <w:rsid w:val="00071DBF"/>
    <w:rsid w:val="000728B0"/>
    <w:rsid w:val="00075171"/>
    <w:rsid w:val="00082AD6"/>
    <w:rsid w:val="00083B5F"/>
    <w:rsid w:val="0009149F"/>
    <w:rsid w:val="00095D10"/>
    <w:rsid w:val="00095E9E"/>
    <w:rsid w:val="000975B6"/>
    <w:rsid w:val="000A2996"/>
    <w:rsid w:val="000A5F99"/>
    <w:rsid w:val="000A65CA"/>
    <w:rsid w:val="000A7080"/>
    <w:rsid w:val="000A7C60"/>
    <w:rsid w:val="000B6A07"/>
    <w:rsid w:val="000B6A3D"/>
    <w:rsid w:val="000B6D69"/>
    <w:rsid w:val="000C0CC0"/>
    <w:rsid w:val="000C42A2"/>
    <w:rsid w:val="000D11D0"/>
    <w:rsid w:val="000D4B98"/>
    <w:rsid w:val="000D5C95"/>
    <w:rsid w:val="000E07BF"/>
    <w:rsid w:val="000E2043"/>
    <w:rsid w:val="000E3E8B"/>
    <w:rsid w:val="000E4169"/>
    <w:rsid w:val="000F11E3"/>
    <w:rsid w:val="000F1849"/>
    <w:rsid w:val="000F303C"/>
    <w:rsid w:val="000F30CD"/>
    <w:rsid w:val="000F4725"/>
    <w:rsid w:val="000F5DC3"/>
    <w:rsid w:val="0010381C"/>
    <w:rsid w:val="0010681B"/>
    <w:rsid w:val="00112BE8"/>
    <w:rsid w:val="00121293"/>
    <w:rsid w:val="001254C7"/>
    <w:rsid w:val="00125F9B"/>
    <w:rsid w:val="001266AF"/>
    <w:rsid w:val="00134BF9"/>
    <w:rsid w:val="00137EA3"/>
    <w:rsid w:val="001425F7"/>
    <w:rsid w:val="00142D6F"/>
    <w:rsid w:val="001434D9"/>
    <w:rsid w:val="001462B5"/>
    <w:rsid w:val="00157EA4"/>
    <w:rsid w:val="00162A3D"/>
    <w:rsid w:val="0016652C"/>
    <w:rsid w:val="001708BB"/>
    <w:rsid w:val="00172651"/>
    <w:rsid w:val="00173619"/>
    <w:rsid w:val="00176719"/>
    <w:rsid w:val="00181DD7"/>
    <w:rsid w:val="00182039"/>
    <w:rsid w:val="0018293E"/>
    <w:rsid w:val="00186AA2"/>
    <w:rsid w:val="001922DE"/>
    <w:rsid w:val="00196DD1"/>
    <w:rsid w:val="001A07E4"/>
    <w:rsid w:val="001A32C9"/>
    <w:rsid w:val="001A6C07"/>
    <w:rsid w:val="001A7055"/>
    <w:rsid w:val="001A746A"/>
    <w:rsid w:val="001B08A8"/>
    <w:rsid w:val="001B675E"/>
    <w:rsid w:val="001C102A"/>
    <w:rsid w:val="001C2CF7"/>
    <w:rsid w:val="001C629A"/>
    <w:rsid w:val="001D330E"/>
    <w:rsid w:val="001D5846"/>
    <w:rsid w:val="001D5870"/>
    <w:rsid w:val="001E2CDC"/>
    <w:rsid w:val="001E339E"/>
    <w:rsid w:val="001E37FA"/>
    <w:rsid w:val="001E78BE"/>
    <w:rsid w:val="001E79E7"/>
    <w:rsid w:val="001F0705"/>
    <w:rsid w:val="001F17B0"/>
    <w:rsid w:val="001F6DF7"/>
    <w:rsid w:val="0020106F"/>
    <w:rsid w:val="00202F62"/>
    <w:rsid w:val="00203D5C"/>
    <w:rsid w:val="00206CB3"/>
    <w:rsid w:val="00207960"/>
    <w:rsid w:val="00215052"/>
    <w:rsid w:val="002179BA"/>
    <w:rsid w:val="00217B7D"/>
    <w:rsid w:val="002214CD"/>
    <w:rsid w:val="00223A48"/>
    <w:rsid w:val="002319AA"/>
    <w:rsid w:val="002362FA"/>
    <w:rsid w:val="00241DA2"/>
    <w:rsid w:val="002446B5"/>
    <w:rsid w:val="00244E7B"/>
    <w:rsid w:val="00244E81"/>
    <w:rsid w:val="002456BC"/>
    <w:rsid w:val="00251067"/>
    <w:rsid w:val="0025125C"/>
    <w:rsid w:val="00251443"/>
    <w:rsid w:val="00255E18"/>
    <w:rsid w:val="00262212"/>
    <w:rsid w:val="002668F3"/>
    <w:rsid w:val="00267AA9"/>
    <w:rsid w:val="00267C44"/>
    <w:rsid w:val="00270A98"/>
    <w:rsid w:val="00275122"/>
    <w:rsid w:val="00275C5D"/>
    <w:rsid w:val="00281E1F"/>
    <w:rsid w:val="00282023"/>
    <w:rsid w:val="002820F2"/>
    <w:rsid w:val="002830BB"/>
    <w:rsid w:val="00283D80"/>
    <w:rsid w:val="0028477E"/>
    <w:rsid w:val="00285697"/>
    <w:rsid w:val="00291977"/>
    <w:rsid w:val="00292F78"/>
    <w:rsid w:val="00293E78"/>
    <w:rsid w:val="00295D5E"/>
    <w:rsid w:val="00297FAD"/>
    <w:rsid w:val="002A3502"/>
    <w:rsid w:val="002A51CC"/>
    <w:rsid w:val="002A5EDA"/>
    <w:rsid w:val="002A648A"/>
    <w:rsid w:val="002C0BFB"/>
    <w:rsid w:val="002C49AB"/>
    <w:rsid w:val="002C5426"/>
    <w:rsid w:val="002C5E19"/>
    <w:rsid w:val="002C6F2A"/>
    <w:rsid w:val="002C7873"/>
    <w:rsid w:val="002D29FE"/>
    <w:rsid w:val="002D4B39"/>
    <w:rsid w:val="002D66C7"/>
    <w:rsid w:val="002D6EFA"/>
    <w:rsid w:val="002D72D4"/>
    <w:rsid w:val="002D7A01"/>
    <w:rsid w:val="002E630E"/>
    <w:rsid w:val="002E71BC"/>
    <w:rsid w:val="002F342B"/>
    <w:rsid w:val="002F7E11"/>
    <w:rsid w:val="00300A28"/>
    <w:rsid w:val="0030599D"/>
    <w:rsid w:val="00306A8A"/>
    <w:rsid w:val="00315653"/>
    <w:rsid w:val="00315FB0"/>
    <w:rsid w:val="00323834"/>
    <w:rsid w:val="003241CE"/>
    <w:rsid w:val="003245E4"/>
    <w:rsid w:val="00331072"/>
    <w:rsid w:val="00331347"/>
    <w:rsid w:val="003338CA"/>
    <w:rsid w:val="003418CC"/>
    <w:rsid w:val="00341DAC"/>
    <w:rsid w:val="00342089"/>
    <w:rsid w:val="00351B62"/>
    <w:rsid w:val="00354267"/>
    <w:rsid w:val="003546AF"/>
    <w:rsid w:val="00357062"/>
    <w:rsid w:val="00367D84"/>
    <w:rsid w:val="00370B66"/>
    <w:rsid w:val="00373BF2"/>
    <w:rsid w:val="00391092"/>
    <w:rsid w:val="0039481F"/>
    <w:rsid w:val="00396567"/>
    <w:rsid w:val="00396B4F"/>
    <w:rsid w:val="0039741D"/>
    <w:rsid w:val="003A793D"/>
    <w:rsid w:val="003A7C14"/>
    <w:rsid w:val="003B0254"/>
    <w:rsid w:val="003B22A5"/>
    <w:rsid w:val="003B4C4E"/>
    <w:rsid w:val="003C119F"/>
    <w:rsid w:val="003C379D"/>
    <w:rsid w:val="003C5684"/>
    <w:rsid w:val="003D4E0A"/>
    <w:rsid w:val="003E0022"/>
    <w:rsid w:val="003E1651"/>
    <w:rsid w:val="003E165D"/>
    <w:rsid w:val="003E5C04"/>
    <w:rsid w:val="003F0BE8"/>
    <w:rsid w:val="003F2528"/>
    <w:rsid w:val="003F2759"/>
    <w:rsid w:val="004003F0"/>
    <w:rsid w:val="00410CE1"/>
    <w:rsid w:val="00415C64"/>
    <w:rsid w:val="00420AE4"/>
    <w:rsid w:val="00420F2B"/>
    <w:rsid w:val="00423C23"/>
    <w:rsid w:val="00430935"/>
    <w:rsid w:val="004339B3"/>
    <w:rsid w:val="004401F1"/>
    <w:rsid w:val="00450ADC"/>
    <w:rsid w:val="00456CD2"/>
    <w:rsid w:val="004610DE"/>
    <w:rsid w:val="004615B6"/>
    <w:rsid w:val="0046166E"/>
    <w:rsid w:val="0046288C"/>
    <w:rsid w:val="004642D8"/>
    <w:rsid w:val="004742EA"/>
    <w:rsid w:val="004876D9"/>
    <w:rsid w:val="00487F81"/>
    <w:rsid w:val="004949DB"/>
    <w:rsid w:val="004A2127"/>
    <w:rsid w:val="004A530B"/>
    <w:rsid w:val="004B028F"/>
    <w:rsid w:val="004B1FF1"/>
    <w:rsid w:val="004C1496"/>
    <w:rsid w:val="004C7AC4"/>
    <w:rsid w:val="004D0A81"/>
    <w:rsid w:val="004D1794"/>
    <w:rsid w:val="004E097B"/>
    <w:rsid w:val="004E10E0"/>
    <w:rsid w:val="004F1938"/>
    <w:rsid w:val="00506DCE"/>
    <w:rsid w:val="0051633C"/>
    <w:rsid w:val="005170AE"/>
    <w:rsid w:val="00521990"/>
    <w:rsid w:val="00526A19"/>
    <w:rsid w:val="005371BE"/>
    <w:rsid w:val="005418CD"/>
    <w:rsid w:val="005436B2"/>
    <w:rsid w:val="00544A87"/>
    <w:rsid w:val="0055030A"/>
    <w:rsid w:val="00560050"/>
    <w:rsid w:val="00561C2F"/>
    <w:rsid w:val="005621D0"/>
    <w:rsid w:val="00572A3E"/>
    <w:rsid w:val="0058180C"/>
    <w:rsid w:val="005944E1"/>
    <w:rsid w:val="00594BD0"/>
    <w:rsid w:val="005A662B"/>
    <w:rsid w:val="005A66E8"/>
    <w:rsid w:val="005A7FE1"/>
    <w:rsid w:val="005B223D"/>
    <w:rsid w:val="005B5E5B"/>
    <w:rsid w:val="005C1ECA"/>
    <w:rsid w:val="005C200D"/>
    <w:rsid w:val="005C3354"/>
    <w:rsid w:val="005C6B17"/>
    <w:rsid w:val="005D02A8"/>
    <w:rsid w:val="005D3CEA"/>
    <w:rsid w:val="005D489E"/>
    <w:rsid w:val="005E16B6"/>
    <w:rsid w:val="005E24EE"/>
    <w:rsid w:val="005E5CFE"/>
    <w:rsid w:val="005F0B24"/>
    <w:rsid w:val="005F6609"/>
    <w:rsid w:val="00601684"/>
    <w:rsid w:val="00604071"/>
    <w:rsid w:val="00604E70"/>
    <w:rsid w:val="0060721E"/>
    <w:rsid w:val="00610C3A"/>
    <w:rsid w:val="00615035"/>
    <w:rsid w:val="00616C12"/>
    <w:rsid w:val="0063312A"/>
    <w:rsid w:val="00633604"/>
    <w:rsid w:val="00636E22"/>
    <w:rsid w:val="0063748B"/>
    <w:rsid w:val="00644B3B"/>
    <w:rsid w:val="00651AD1"/>
    <w:rsid w:val="00656FB7"/>
    <w:rsid w:val="00657338"/>
    <w:rsid w:val="00662E23"/>
    <w:rsid w:val="0066313E"/>
    <w:rsid w:val="00663AD1"/>
    <w:rsid w:val="0066424F"/>
    <w:rsid w:val="00664E52"/>
    <w:rsid w:val="0068092A"/>
    <w:rsid w:val="0068106E"/>
    <w:rsid w:val="0069071B"/>
    <w:rsid w:val="00690A15"/>
    <w:rsid w:val="006917A8"/>
    <w:rsid w:val="006920E3"/>
    <w:rsid w:val="0069343A"/>
    <w:rsid w:val="00694D41"/>
    <w:rsid w:val="006A7C68"/>
    <w:rsid w:val="006B0FC0"/>
    <w:rsid w:val="006B5DB4"/>
    <w:rsid w:val="006B685C"/>
    <w:rsid w:val="006C2AC4"/>
    <w:rsid w:val="006D0DC3"/>
    <w:rsid w:val="006D37D9"/>
    <w:rsid w:val="006D4A64"/>
    <w:rsid w:val="006F0CD9"/>
    <w:rsid w:val="006F0E9B"/>
    <w:rsid w:val="00702A7E"/>
    <w:rsid w:val="00706BC9"/>
    <w:rsid w:val="00713348"/>
    <w:rsid w:val="0071453F"/>
    <w:rsid w:val="0072292A"/>
    <w:rsid w:val="007252A6"/>
    <w:rsid w:val="00726111"/>
    <w:rsid w:val="00734D00"/>
    <w:rsid w:val="00735F2A"/>
    <w:rsid w:val="00757C0B"/>
    <w:rsid w:val="007603FD"/>
    <w:rsid w:val="00761A5B"/>
    <w:rsid w:val="00765879"/>
    <w:rsid w:val="00772954"/>
    <w:rsid w:val="00774FA8"/>
    <w:rsid w:val="00775E8C"/>
    <w:rsid w:val="00780803"/>
    <w:rsid w:val="00781276"/>
    <w:rsid w:val="007A265D"/>
    <w:rsid w:val="007A2705"/>
    <w:rsid w:val="007A7A89"/>
    <w:rsid w:val="007B0E08"/>
    <w:rsid w:val="007C1261"/>
    <w:rsid w:val="007D79E7"/>
    <w:rsid w:val="007E1F7C"/>
    <w:rsid w:val="007F2E40"/>
    <w:rsid w:val="008013B9"/>
    <w:rsid w:val="00802CEF"/>
    <w:rsid w:val="00802E75"/>
    <w:rsid w:val="0080600F"/>
    <w:rsid w:val="00810317"/>
    <w:rsid w:val="00810EEA"/>
    <w:rsid w:val="008146F9"/>
    <w:rsid w:val="00814DC5"/>
    <w:rsid w:val="00825156"/>
    <w:rsid w:val="00830CCE"/>
    <w:rsid w:val="00834B20"/>
    <w:rsid w:val="0084278D"/>
    <w:rsid w:val="00843B02"/>
    <w:rsid w:val="00844603"/>
    <w:rsid w:val="00845D8F"/>
    <w:rsid w:val="00851648"/>
    <w:rsid w:val="00851BA3"/>
    <w:rsid w:val="008634DE"/>
    <w:rsid w:val="008726BC"/>
    <w:rsid w:val="0088142C"/>
    <w:rsid w:val="00883880"/>
    <w:rsid w:val="00883E6C"/>
    <w:rsid w:val="00887E6B"/>
    <w:rsid w:val="00890B09"/>
    <w:rsid w:val="00892EEC"/>
    <w:rsid w:val="008A09C5"/>
    <w:rsid w:val="008A1B67"/>
    <w:rsid w:val="008A1C11"/>
    <w:rsid w:val="008A1C4A"/>
    <w:rsid w:val="008A354A"/>
    <w:rsid w:val="008A3A89"/>
    <w:rsid w:val="008A403E"/>
    <w:rsid w:val="008B6014"/>
    <w:rsid w:val="008C03B3"/>
    <w:rsid w:val="008C249F"/>
    <w:rsid w:val="008D3C9A"/>
    <w:rsid w:val="008D558F"/>
    <w:rsid w:val="008E06F2"/>
    <w:rsid w:val="008E1B5F"/>
    <w:rsid w:val="008E49E7"/>
    <w:rsid w:val="008E4AC4"/>
    <w:rsid w:val="008F4EBA"/>
    <w:rsid w:val="00900837"/>
    <w:rsid w:val="00910414"/>
    <w:rsid w:val="009263DB"/>
    <w:rsid w:val="00927FAF"/>
    <w:rsid w:val="009306B5"/>
    <w:rsid w:val="00933B71"/>
    <w:rsid w:val="00935367"/>
    <w:rsid w:val="00940445"/>
    <w:rsid w:val="00941436"/>
    <w:rsid w:val="00941A78"/>
    <w:rsid w:val="009447D2"/>
    <w:rsid w:val="00947AEF"/>
    <w:rsid w:val="009670E1"/>
    <w:rsid w:val="00970B9F"/>
    <w:rsid w:val="00972DD8"/>
    <w:rsid w:val="00973806"/>
    <w:rsid w:val="009744F8"/>
    <w:rsid w:val="00976314"/>
    <w:rsid w:val="00977D75"/>
    <w:rsid w:val="0098346D"/>
    <w:rsid w:val="00985181"/>
    <w:rsid w:val="00992D61"/>
    <w:rsid w:val="00993083"/>
    <w:rsid w:val="009930AF"/>
    <w:rsid w:val="009A0AE0"/>
    <w:rsid w:val="009A4844"/>
    <w:rsid w:val="009A627D"/>
    <w:rsid w:val="009A664B"/>
    <w:rsid w:val="009B56AA"/>
    <w:rsid w:val="009B6889"/>
    <w:rsid w:val="009C53A2"/>
    <w:rsid w:val="009C6417"/>
    <w:rsid w:val="009C68CA"/>
    <w:rsid w:val="009D14E7"/>
    <w:rsid w:val="009E08AF"/>
    <w:rsid w:val="009E2DDF"/>
    <w:rsid w:val="009E542D"/>
    <w:rsid w:val="009E5903"/>
    <w:rsid w:val="009E6381"/>
    <w:rsid w:val="00A06462"/>
    <w:rsid w:val="00A0659A"/>
    <w:rsid w:val="00A10A39"/>
    <w:rsid w:val="00A10DD5"/>
    <w:rsid w:val="00A14AA7"/>
    <w:rsid w:val="00A14C06"/>
    <w:rsid w:val="00A228EB"/>
    <w:rsid w:val="00A24FD0"/>
    <w:rsid w:val="00A26718"/>
    <w:rsid w:val="00A30233"/>
    <w:rsid w:val="00A32C75"/>
    <w:rsid w:val="00A4008E"/>
    <w:rsid w:val="00A4095C"/>
    <w:rsid w:val="00A51BF5"/>
    <w:rsid w:val="00A5243F"/>
    <w:rsid w:val="00A53B63"/>
    <w:rsid w:val="00A54E1C"/>
    <w:rsid w:val="00A5528C"/>
    <w:rsid w:val="00A576FE"/>
    <w:rsid w:val="00A61C17"/>
    <w:rsid w:val="00A641B8"/>
    <w:rsid w:val="00A644D6"/>
    <w:rsid w:val="00A64F82"/>
    <w:rsid w:val="00A65D66"/>
    <w:rsid w:val="00A76E52"/>
    <w:rsid w:val="00A82F22"/>
    <w:rsid w:val="00A83CA7"/>
    <w:rsid w:val="00A91F2B"/>
    <w:rsid w:val="00A95646"/>
    <w:rsid w:val="00A95EE7"/>
    <w:rsid w:val="00AA1C5C"/>
    <w:rsid w:val="00AA3A06"/>
    <w:rsid w:val="00AA4D46"/>
    <w:rsid w:val="00AA596A"/>
    <w:rsid w:val="00AB48A9"/>
    <w:rsid w:val="00AB7433"/>
    <w:rsid w:val="00AB7BB4"/>
    <w:rsid w:val="00AC28D4"/>
    <w:rsid w:val="00AC584C"/>
    <w:rsid w:val="00AC5BFD"/>
    <w:rsid w:val="00AC5DE6"/>
    <w:rsid w:val="00AD06B8"/>
    <w:rsid w:val="00AD1BBC"/>
    <w:rsid w:val="00AD21E6"/>
    <w:rsid w:val="00AD2247"/>
    <w:rsid w:val="00AD3D80"/>
    <w:rsid w:val="00AD6710"/>
    <w:rsid w:val="00AF5C61"/>
    <w:rsid w:val="00AF704A"/>
    <w:rsid w:val="00B174E8"/>
    <w:rsid w:val="00B201E7"/>
    <w:rsid w:val="00B20F92"/>
    <w:rsid w:val="00B261EB"/>
    <w:rsid w:val="00B27368"/>
    <w:rsid w:val="00B323F2"/>
    <w:rsid w:val="00B32848"/>
    <w:rsid w:val="00B354F4"/>
    <w:rsid w:val="00B36E32"/>
    <w:rsid w:val="00B40CAD"/>
    <w:rsid w:val="00B52370"/>
    <w:rsid w:val="00B53215"/>
    <w:rsid w:val="00B5384C"/>
    <w:rsid w:val="00B5488B"/>
    <w:rsid w:val="00B54C7F"/>
    <w:rsid w:val="00B54DDB"/>
    <w:rsid w:val="00B616E2"/>
    <w:rsid w:val="00B618A7"/>
    <w:rsid w:val="00B62E7B"/>
    <w:rsid w:val="00B63440"/>
    <w:rsid w:val="00B65FB5"/>
    <w:rsid w:val="00B71B6F"/>
    <w:rsid w:val="00B73B62"/>
    <w:rsid w:val="00B75D37"/>
    <w:rsid w:val="00B80A51"/>
    <w:rsid w:val="00B840AF"/>
    <w:rsid w:val="00B90122"/>
    <w:rsid w:val="00B92652"/>
    <w:rsid w:val="00B95C61"/>
    <w:rsid w:val="00B962BF"/>
    <w:rsid w:val="00B96D12"/>
    <w:rsid w:val="00B97F1F"/>
    <w:rsid w:val="00BA3705"/>
    <w:rsid w:val="00BA491D"/>
    <w:rsid w:val="00BA7E0E"/>
    <w:rsid w:val="00BA7ECA"/>
    <w:rsid w:val="00BB01BB"/>
    <w:rsid w:val="00BB1D8B"/>
    <w:rsid w:val="00BB7D27"/>
    <w:rsid w:val="00BD0ECE"/>
    <w:rsid w:val="00BD23B1"/>
    <w:rsid w:val="00BD263E"/>
    <w:rsid w:val="00BD4330"/>
    <w:rsid w:val="00BE263D"/>
    <w:rsid w:val="00BF0A53"/>
    <w:rsid w:val="00BF1D5D"/>
    <w:rsid w:val="00BF2798"/>
    <w:rsid w:val="00C02863"/>
    <w:rsid w:val="00C11A23"/>
    <w:rsid w:val="00C12466"/>
    <w:rsid w:val="00C125DE"/>
    <w:rsid w:val="00C14C11"/>
    <w:rsid w:val="00C2545D"/>
    <w:rsid w:val="00C35875"/>
    <w:rsid w:val="00C424D3"/>
    <w:rsid w:val="00C45D70"/>
    <w:rsid w:val="00C52C5E"/>
    <w:rsid w:val="00C574F3"/>
    <w:rsid w:val="00C61DFD"/>
    <w:rsid w:val="00C661C3"/>
    <w:rsid w:val="00C70281"/>
    <w:rsid w:val="00C7066A"/>
    <w:rsid w:val="00C72C5B"/>
    <w:rsid w:val="00C74082"/>
    <w:rsid w:val="00C75CF1"/>
    <w:rsid w:val="00C76552"/>
    <w:rsid w:val="00C774F4"/>
    <w:rsid w:val="00C77600"/>
    <w:rsid w:val="00C839E3"/>
    <w:rsid w:val="00C83FF2"/>
    <w:rsid w:val="00C93CED"/>
    <w:rsid w:val="00C97D41"/>
    <w:rsid w:val="00CA12AD"/>
    <w:rsid w:val="00CA43ED"/>
    <w:rsid w:val="00CB0436"/>
    <w:rsid w:val="00CB40AB"/>
    <w:rsid w:val="00CB66AF"/>
    <w:rsid w:val="00CC2385"/>
    <w:rsid w:val="00CC287B"/>
    <w:rsid w:val="00CD1B68"/>
    <w:rsid w:val="00CD3BBC"/>
    <w:rsid w:val="00CE2720"/>
    <w:rsid w:val="00CE3B84"/>
    <w:rsid w:val="00CE418A"/>
    <w:rsid w:val="00CE4A66"/>
    <w:rsid w:val="00CE5F99"/>
    <w:rsid w:val="00CF0B0B"/>
    <w:rsid w:val="00CF3A35"/>
    <w:rsid w:val="00CF6097"/>
    <w:rsid w:val="00D02909"/>
    <w:rsid w:val="00D1389E"/>
    <w:rsid w:val="00D14B3F"/>
    <w:rsid w:val="00D1515D"/>
    <w:rsid w:val="00D23424"/>
    <w:rsid w:val="00D2449C"/>
    <w:rsid w:val="00D24D9A"/>
    <w:rsid w:val="00D26544"/>
    <w:rsid w:val="00D31DD5"/>
    <w:rsid w:val="00D32F6A"/>
    <w:rsid w:val="00D3517F"/>
    <w:rsid w:val="00D40F3D"/>
    <w:rsid w:val="00D40F69"/>
    <w:rsid w:val="00D425BF"/>
    <w:rsid w:val="00D44C1C"/>
    <w:rsid w:val="00D45C77"/>
    <w:rsid w:val="00D45FDA"/>
    <w:rsid w:val="00D51F5D"/>
    <w:rsid w:val="00D570D9"/>
    <w:rsid w:val="00D70DE4"/>
    <w:rsid w:val="00D71758"/>
    <w:rsid w:val="00D757FE"/>
    <w:rsid w:val="00D77A57"/>
    <w:rsid w:val="00D77D3F"/>
    <w:rsid w:val="00D81BEC"/>
    <w:rsid w:val="00D84E04"/>
    <w:rsid w:val="00D85136"/>
    <w:rsid w:val="00D85E32"/>
    <w:rsid w:val="00D864B5"/>
    <w:rsid w:val="00D91B06"/>
    <w:rsid w:val="00DA3ED2"/>
    <w:rsid w:val="00DA4A63"/>
    <w:rsid w:val="00DA526D"/>
    <w:rsid w:val="00DB29E8"/>
    <w:rsid w:val="00DC4285"/>
    <w:rsid w:val="00DD05B0"/>
    <w:rsid w:val="00DD273A"/>
    <w:rsid w:val="00DD3FE4"/>
    <w:rsid w:val="00DD4BC0"/>
    <w:rsid w:val="00DD7DBF"/>
    <w:rsid w:val="00DE4A1B"/>
    <w:rsid w:val="00DE5390"/>
    <w:rsid w:val="00DF0634"/>
    <w:rsid w:val="00DF5C22"/>
    <w:rsid w:val="00DF6F8C"/>
    <w:rsid w:val="00DF7822"/>
    <w:rsid w:val="00E0474F"/>
    <w:rsid w:val="00E04842"/>
    <w:rsid w:val="00E058EC"/>
    <w:rsid w:val="00E06EDE"/>
    <w:rsid w:val="00E13106"/>
    <w:rsid w:val="00E20172"/>
    <w:rsid w:val="00E21D33"/>
    <w:rsid w:val="00E22B76"/>
    <w:rsid w:val="00E252EF"/>
    <w:rsid w:val="00E30964"/>
    <w:rsid w:val="00E33067"/>
    <w:rsid w:val="00E34123"/>
    <w:rsid w:val="00E41A0F"/>
    <w:rsid w:val="00E41C79"/>
    <w:rsid w:val="00E4345B"/>
    <w:rsid w:val="00E44E1E"/>
    <w:rsid w:val="00E455D3"/>
    <w:rsid w:val="00E50F05"/>
    <w:rsid w:val="00E51696"/>
    <w:rsid w:val="00E517B7"/>
    <w:rsid w:val="00E55F05"/>
    <w:rsid w:val="00E57CB0"/>
    <w:rsid w:val="00E6091C"/>
    <w:rsid w:val="00E651ED"/>
    <w:rsid w:val="00E66671"/>
    <w:rsid w:val="00E705D6"/>
    <w:rsid w:val="00E77DD0"/>
    <w:rsid w:val="00E82AEB"/>
    <w:rsid w:val="00E8467A"/>
    <w:rsid w:val="00E90C71"/>
    <w:rsid w:val="00E94341"/>
    <w:rsid w:val="00E954C9"/>
    <w:rsid w:val="00EA3E3B"/>
    <w:rsid w:val="00EA499C"/>
    <w:rsid w:val="00EA7DB0"/>
    <w:rsid w:val="00EB377E"/>
    <w:rsid w:val="00EB6415"/>
    <w:rsid w:val="00EB79F8"/>
    <w:rsid w:val="00EC3B25"/>
    <w:rsid w:val="00EC4773"/>
    <w:rsid w:val="00ED025D"/>
    <w:rsid w:val="00ED1A01"/>
    <w:rsid w:val="00ED2389"/>
    <w:rsid w:val="00EE007C"/>
    <w:rsid w:val="00EE6236"/>
    <w:rsid w:val="00EF01FF"/>
    <w:rsid w:val="00EF1EB8"/>
    <w:rsid w:val="00EF2736"/>
    <w:rsid w:val="00EF5334"/>
    <w:rsid w:val="00EF5750"/>
    <w:rsid w:val="00F07F16"/>
    <w:rsid w:val="00F12520"/>
    <w:rsid w:val="00F1264C"/>
    <w:rsid w:val="00F14495"/>
    <w:rsid w:val="00F14A3C"/>
    <w:rsid w:val="00F22C79"/>
    <w:rsid w:val="00F23B46"/>
    <w:rsid w:val="00F2527B"/>
    <w:rsid w:val="00F30AA2"/>
    <w:rsid w:val="00F31404"/>
    <w:rsid w:val="00F33D74"/>
    <w:rsid w:val="00F36E65"/>
    <w:rsid w:val="00F374C8"/>
    <w:rsid w:val="00F40A29"/>
    <w:rsid w:val="00F470F0"/>
    <w:rsid w:val="00F606DF"/>
    <w:rsid w:val="00F66B32"/>
    <w:rsid w:val="00F74A14"/>
    <w:rsid w:val="00F81FC1"/>
    <w:rsid w:val="00F87E3B"/>
    <w:rsid w:val="00F91992"/>
    <w:rsid w:val="00F938CC"/>
    <w:rsid w:val="00FC0FC3"/>
    <w:rsid w:val="00FC5EC0"/>
    <w:rsid w:val="00FC7CF6"/>
    <w:rsid w:val="00FD06C6"/>
    <w:rsid w:val="00FD1437"/>
    <w:rsid w:val="00FD14D8"/>
    <w:rsid w:val="00FD3E53"/>
    <w:rsid w:val="00FD401B"/>
    <w:rsid w:val="00FD6BDB"/>
    <w:rsid w:val="00FE0716"/>
    <w:rsid w:val="00FE2CAF"/>
    <w:rsid w:val="00FE4A21"/>
    <w:rsid w:val="00FF07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4E473B"/>
  <w15:docId w15:val="{52D277E7-2C2F-4F27-8F83-237E7576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aliases w:val="Footnote Text Char1,Footnote Text Char1 Char Char,Footnote Text Char Char Char Char,Footnote Text Char Char Char Char Char Char Char Char,Footnote Text Char Char1,Schriftart: 9 pt,f"/>
    <w:basedOn w:val="Normal"/>
    <w:link w:val="FootnoteTextChar"/>
    <w:uiPriority w:val="99"/>
    <w:unhideWhenUsed/>
    <w:rsid w:val="009C6417"/>
    <w:pPr>
      <w:spacing w:before="0" w:after="0" w:line="240" w:lineRule="auto"/>
      <w:ind w:left="720" w:hanging="720"/>
    </w:pPr>
    <w:rPr>
      <w:szCs w:val="20"/>
    </w:rPr>
  </w:style>
  <w:style w:type="character" w:customStyle="1" w:styleId="FootnoteTextChar">
    <w:name w:val="Footnote Text Char"/>
    <w:aliases w:val="Footnote Text Char1 Char,Footnote Text Char1 Char Char Char,Footnote Text Char Char Char Char Char,Footnote Text Char Char Char Char Char Char Char Char Char,Footnote Text Char Char1 Char,Schriftart: 9 pt Char,f Char"/>
    <w:basedOn w:val="DefaultParagraphFont"/>
    <w:link w:val="FootnoteText"/>
    <w:uiPriority w:val="99"/>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aliases w:val="Footnote symbol,Footnote,BVI fnr,(Footnote Reference),Footnote call,SUPERS, BVI fnr,Voetnootverwijzing,Times 10 Point,Exposant 3 Point,Footnote reference number,note TESI,stylish,Ref,de nota al pie,Footnote Reference1,16 Point"/>
    <w:basedOn w:val="DefaultParagraphFont"/>
    <w:uiPriority w:val="99"/>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644B3B"/>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uiPriority w:val="99"/>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customStyle="1" w:styleId="HeaderCouncilLarge">
    <w:name w:val="Header Council Large"/>
    <w:basedOn w:val="Normal"/>
    <w:link w:val="HeaderCouncilLargeChar"/>
    <w:rsid w:val="00F22C79"/>
    <w:pPr>
      <w:spacing w:before="0" w:after="440"/>
      <w:ind w:left="-1134" w:right="-1134"/>
    </w:pPr>
    <w:rPr>
      <w:sz w:val="2"/>
    </w:rPr>
  </w:style>
  <w:style w:type="character" w:customStyle="1" w:styleId="TechnicalBlockChar">
    <w:name w:val="Technical Block Char"/>
    <w:basedOn w:val="DefaultParagraphFont"/>
    <w:link w:val="TechnicalBlock"/>
    <w:rsid w:val="00F22C79"/>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F22C79"/>
    <w:rPr>
      <w:rFonts w:ascii="Times New Roman" w:hAnsi="Times New Roman" w:cs="Times New Roman"/>
      <w:sz w:val="2"/>
      <w:lang w:val="en-GB"/>
    </w:rPr>
  </w:style>
  <w:style w:type="paragraph" w:customStyle="1" w:styleId="FooterText">
    <w:name w:val="Footer Text"/>
    <w:basedOn w:val="Normal"/>
    <w:rsid w:val="00F22C79"/>
    <w:pPr>
      <w:spacing w:before="0" w:after="0" w:line="240" w:lineRule="auto"/>
    </w:pPr>
    <w:rPr>
      <w:rFonts w:eastAsia="Times New Roman"/>
      <w:szCs w:val="24"/>
    </w:rPr>
  </w:style>
  <w:style w:type="character" w:styleId="PlaceholderText">
    <w:name w:val="Placeholder Text"/>
    <w:basedOn w:val="DefaultParagraphFont"/>
    <w:uiPriority w:val="99"/>
    <w:semiHidden/>
    <w:rsid w:val="00F22C79"/>
    <w:rPr>
      <w:color w:val="808080"/>
    </w:rPr>
  </w:style>
  <w:style w:type="paragraph" w:styleId="Revision">
    <w:name w:val="Revision"/>
    <w:hidden/>
    <w:uiPriority w:val="99"/>
    <w:semiHidden/>
    <w:rsid w:val="002179BA"/>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D44C1C"/>
    <w:rPr>
      <w:sz w:val="16"/>
      <w:szCs w:val="16"/>
    </w:rPr>
  </w:style>
  <w:style w:type="paragraph" w:styleId="CommentText">
    <w:name w:val="annotation text"/>
    <w:basedOn w:val="Normal"/>
    <w:link w:val="CommentTextChar"/>
    <w:uiPriority w:val="99"/>
    <w:unhideWhenUsed/>
    <w:rsid w:val="00D44C1C"/>
    <w:pPr>
      <w:spacing w:line="240" w:lineRule="auto"/>
    </w:pPr>
    <w:rPr>
      <w:sz w:val="20"/>
      <w:szCs w:val="20"/>
    </w:rPr>
  </w:style>
  <w:style w:type="character" w:customStyle="1" w:styleId="CommentTextChar">
    <w:name w:val="Comment Text Char"/>
    <w:basedOn w:val="DefaultParagraphFont"/>
    <w:link w:val="CommentText"/>
    <w:uiPriority w:val="99"/>
    <w:rsid w:val="00D44C1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44C1C"/>
    <w:rPr>
      <w:b/>
      <w:bCs/>
    </w:rPr>
  </w:style>
  <w:style w:type="character" w:customStyle="1" w:styleId="CommentSubjectChar">
    <w:name w:val="Comment Subject Char"/>
    <w:basedOn w:val="CommentTextChar"/>
    <w:link w:val="CommentSubject"/>
    <w:uiPriority w:val="99"/>
    <w:semiHidden/>
    <w:rsid w:val="00D44C1C"/>
    <w:rPr>
      <w:rFonts w:ascii="Times New Roman" w:hAnsi="Times New Roman" w:cs="Times New Roman"/>
      <w:b/>
      <w:bCs/>
      <w:sz w:val="20"/>
      <w:szCs w:val="20"/>
      <w:lang w:val="en-GB"/>
    </w:rPr>
  </w:style>
  <w:style w:type="paragraph" w:styleId="ListParagraph">
    <w:name w:val="List Paragraph"/>
    <w:basedOn w:val="Normal"/>
    <w:uiPriority w:val="34"/>
    <w:qFormat/>
    <w:rsid w:val="00173619"/>
    <w:pPr>
      <w:ind w:left="720"/>
      <w:contextualSpacing/>
    </w:pPr>
  </w:style>
  <w:style w:type="paragraph" w:customStyle="1" w:styleId="NormalConseil">
    <w:name w:val="NormalConseil"/>
    <w:basedOn w:val="Normal"/>
    <w:rsid w:val="008634DE"/>
    <w:pPr>
      <w:suppressAutoHyphens/>
      <w:autoSpaceDN w:val="0"/>
      <w:spacing w:before="0" w:after="0" w:line="240" w:lineRule="auto"/>
      <w:textAlignment w:val="baseline"/>
    </w:pPr>
    <w:rPr>
      <w:rFonts w:eastAsia="Times New Roman"/>
      <w:kern w:val="3"/>
      <w:szCs w:val="24"/>
      <w:lang w:eastAsia="en-GB"/>
    </w:rPr>
  </w:style>
  <w:style w:type="paragraph" w:styleId="NormalWeb">
    <w:name w:val="Normal (Web)"/>
    <w:basedOn w:val="Normal"/>
    <w:uiPriority w:val="99"/>
    <w:unhideWhenUsed/>
    <w:rsid w:val="008634DE"/>
    <w:pPr>
      <w:spacing w:before="100" w:beforeAutospacing="1" w:after="100" w:afterAutospacing="1" w:line="240" w:lineRule="auto"/>
    </w:pPr>
    <w:rPr>
      <w:rFonts w:eastAsia="Times New Roman"/>
      <w:szCs w:val="24"/>
      <w:lang w:val="fr-BE" w:eastAsia="fr-BE"/>
    </w:rPr>
  </w:style>
  <w:style w:type="character" w:styleId="Emphasis">
    <w:name w:val="Emphasis"/>
    <w:basedOn w:val="DefaultParagraphFont"/>
    <w:uiPriority w:val="20"/>
    <w:qFormat/>
    <w:rsid w:val="00C125DE"/>
    <w:rPr>
      <w:i/>
      <w:iCs/>
    </w:rPr>
  </w:style>
  <w:style w:type="character" w:styleId="LineNumber">
    <w:name w:val="line number"/>
    <w:basedOn w:val="DefaultParagraphFont"/>
    <w:uiPriority w:val="99"/>
    <w:semiHidden/>
    <w:unhideWhenUsed/>
    <w:rsid w:val="00341DAC"/>
  </w:style>
  <w:style w:type="paragraph" w:customStyle="1" w:styleId="Point0">
    <w:name w:val="Point 0"/>
    <w:basedOn w:val="Normal"/>
    <w:rsid w:val="008F4EBA"/>
    <w:pPr>
      <w:spacing w:line="240" w:lineRule="auto"/>
      <w:ind w:left="850" w:hanging="850"/>
      <w:jc w:val="both"/>
    </w:pPr>
  </w:style>
  <w:style w:type="paragraph" w:customStyle="1" w:styleId="Tiret3">
    <w:name w:val="Tiret 3"/>
    <w:basedOn w:val="Normal"/>
    <w:rsid w:val="008F4EBA"/>
    <w:pPr>
      <w:numPr>
        <w:numId w:val="26"/>
      </w:numPr>
      <w:spacing w:line="240" w:lineRule="auto"/>
      <w:jc w:val="both"/>
    </w:pPr>
  </w:style>
  <w:style w:type="paragraph" w:customStyle="1" w:styleId="Fait">
    <w:name w:val="Fait à"/>
    <w:basedOn w:val="Normal"/>
    <w:next w:val="Institutionquisigne"/>
    <w:rsid w:val="008F4EBA"/>
    <w:pPr>
      <w:keepNext/>
      <w:spacing w:after="0" w:line="240" w:lineRule="auto"/>
      <w:jc w:val="both"/>
    </w:pPr>
  </w:style>
  <w:style w:type="paragraph" w:customStyle="1" w:styleId="Formuledadoption">
    <w:name w:val="Formule d'adoption"/>
    <w:basedOn w:val="Normal"/>
    <w:next w:val="Titrearticle"/>
    <w:rsid w:val="008F4EBA"/>
    <w:pPr>
      <w:keepNext/>
      <w:spacing w:line="240" w:lineRule="auto"/>
      <w:jc w:val="both"/>
    </w:pPr>
  </w:style>
  <w:style w:type="paragraph" w:customStyle="1" w:styleId="Institutionquiagit">
    <w:name w:val="Institution qui agit"/>
    <w:basedOn w:val="Normal"/>
    <w:next w:val="Normal"/>
    <w:rsid w:val="008F4EBA"/>
    <w:pPr>
      <w:keepNext/>
      <w:spacing w:before="600" w:line="240" w:lineRule="auto"/>
      <w:jc w:val="both"/>
    </w:pPr>
  </w:style>
  <w:style w:type="paragraph" w:customStyle="1" w:styleId="Institutionquisigne">
    <w:name w:val="Institution qui signe"/>
    <w:basedOn w:val="Normal"/>
    <w:next w:val="Personnequisigne"/>
    <w:rsid w:val="008F4EBA"/>
    <w:pPr>
      <w:keepNext/>
      <w:tabs>
        <w:tab w:val="left" w:pos="4252"/>
      </w:tabs>
      <w:spacing w:before="720" w:after="0" w:line="240" w:lineRule="auto"/>
      <w:jc w:val="both"/>
    </w:pPr>
    <w:rPr>
      <w:i/>
    </w:rPr>
  </w:style>
  <w:style w:type="paragraph" w:customStyle="1" w:styleId="ManualConsidrant">
    <w:name w:val="Manual Considérant"/>
    <w:basedOn w:val="Normal"/>
    <w:rsid w:val="008F4EBA"/>
    <w:pPr>
      <w:spacing w:line="240" w:lineRule="auto"/>
      <w:ind w:left="709" w:hanging="709"/>
      <w:jc w:val="both"/>
    </w:pPr>
  </w:style>
  <w:style w:type="paragraph" w:customStyle="1" w:styleId="Personnequisigne">
    <w:name w:val="Personne qui signe"/>
    <w:basedOn w:val="Normal"/>
    <w:next w:val="Institutionquisigne"/>
    <w:rsid w:val="008F4EBA"/>
    <w:pPr>
      <w:tabs>
        <w:tab w:val="left" w:pos="4252"/>
      </w:tabs>
      <w:spacing w:before="0" w:after="0" w:line="240" w:lineRule="auto"/>
    </w:pPr>
    <w:rPr>
      <w:i/>
    </w:rPr>
  </w:style>
  <w:style w:type="paragraph" w:customStyle="1" w:styleId="Rfrenceinterinstitutionnelle">
    <w:name w:val="Référence interinstitutionnelle"/>
    <w:basedOn w:val="Normal"/>
    <w:next w:val="Statut"/>
    <w:rsid w:val="008F4EBA"/>
    <w:pPr>
      <w:spacing w:before="0" w:after="0" w:line="240" w:lineRule="auto"/>
      <w:ind w:left="5103"/>
    </w:pPr>
  </w:style>
  <w:style w:type="paragraph" w:customStyle="1" w:styleId="Statut">
    <w:name w:val="Statut"/>
    <w:basedOn w:val="Normal"/>
    <w:next w:val="Typedudocument"/>
    <w:rsid w:val="008F4EBA"/>
    <w:pPr>
      <w:spacing w:before="360" w:after="0" w:line="240" w:lineRule="auto"/>
      <w:jc w:val="center"/>
    </w:pPr>
  </w:style>
  <w:style w:type="paragraph" w:customStyle="1" w:styleId="Titrearticle">
    <w:name w:val="Titre article"/>
    <w:basedOn w:val="Normal"/>
    <w:next w:val="Normal"/>
    <w:rsid w:val="008F4EBA"/>
    <w:pPr>
      <w:keepNext/>
      <w:spacing w:before="360" w:line="240" w:lineRule="auto"/>
      <w:jc w:val="center"/>
    </w:pPr>
    <w:rPr>
      <w:i/>
    </w:rPr>
  </w:style>
  <w:style w:type="paragraph" w:customStyle="1" w:styleId="Titreobjet">
    <w:name w:val="Titre objet"/>
    <w:basedOn w:val="Normal"/>
    <w:next w:val="IntrtEEE"/>
    <w:rsid w:val="008F4EBA"/>
    <w:pPr>
      <w:spacing w:before="360" w:after="360" w:line="240" w:lineRule="auto"/>
      <w:jc w:val="center"/>
    </w:pPr>
    <w:rPr>
      <w:b/>
    </w:rPr>
  </w:style>
  <w:style w:type="paragraph" w:customStyle="1" w:styleId="Typedudocument">
    <w:name w:val="Type du document"/>
    <w:basedOn w:val="Normal"/>
    <w:next w:val="Titreobjet"/>
    <w:rsid w:val="008F4EBA"/>
    <w:pPr>
      <w:spacing w:before="360" w:after="0" w:line="240" w:lineRule="auto"/>
      <w:jc w:val="center"/>
    </w:pPr>
    <w:rPr>
      <w:b/>
    </w:rPr>
  </w:style>
  <w:style w:type="paragraph" w:customStyle="1" w:styleId="IntrtEEE">
    <w:name w:val="Intérêt EEE"/>
    <w:basedOn w:val="Normal"/>
    <w:next w:val="Normal"/>
    <w:rsid w:val="008F4EBA"/>
    <w:pPr>
      <w:spacing w:before="360" w:after="240" w:line="240" w:lineRule="auto"/>
      <w:jc w:val="center"/>
    </w:pPr>
  </w:style>
  <w:style w:type="paragraph" w:customStyle="1" w:styleId="Normal6a">
    <w:name w:val="Normal6a"/>
    <w:basedOn w:val="Normal"/>
    <w:rsid w:val="00A641B8"/>
    <w:pPr>
      <w:widowControl w:val="0"/>
      <w:spacing w:before="0" w:line="240" w:lineRule="auto"/>
    </w:pPr>
    <w:rPr>
      <w:rFonts w:eastAsia="Times New Roman"/>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45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C1AD-67B7-45A1-B778-D798B08F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1</TotalTime>
  <Pages>5</Pages>
  <Words>1053</Words>
  <Characters>6006</Characters>
  <Application>Microsoft Office Word</Application>
  <DocSecurity>4</DocSecurity>
  <Lines>50</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BRACHOWICZ Maciej Jan</cp:lastModifiedBy>
  <cp:revision>2</cp:revision>
  <cp:lastPrinted>2023-11-30T10:51:00Z</cp:lastPrinted>
  <dcterms:created xsi:type="dcterms:W3CDTF">2024-02-06T15:38:00Z</dcterms:created>
  <dcterms:modified xsi:type="dcterms:W3CDTF">2024-02-06T15:38:00Z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4.8.5, Build 20230921</vt:lpwstr>
  </property>
  <property fmtid="{D5CDD505-2E9C-101B-9397-08002B2CF9AE}" pid="3" name="Created using">
    <vt:lpwstr>DocuWrite 4.7.2, Build 20221128</vt:lpwstr>
  </property>
  <property fmtid="{D5CDD505-2E9C-101B-9397-08002B2CF9AE}" pid="4" name="MSIP_Label_b1df41d6-74a9-4a97-809c-213cd32520cc_Enabled">
    <vt:lpwstr>true</vt:lpwstr>
  </property>
  <property fmtid="{D5CDD505-2E9C-101B-9397-08002B2CF9AE}" pid="5" name="MSIP_Label_b1df41d6-74a9-4a97-809c-213cd32520cc_SetDate">
    <vt:lpwstr>2023-04-11T10:49:04Z</vt:lpwstr>
  </property>
  <property fmtid="{D5CDD505-2E9C-101B-9397-08002B2CF9AE}" pid="6" name="MSIP_Label_b1df41d6-74a9-4a97-809c-213cd32520cc_Method">
    <vt:lpwstr>Privileged</vt:lpwstr>
  </property>
  <property fmtid="{D5CDD505-2E9C-101B-9397-08002B2CF9AE}" pid="7" name="MSIP_Label_b1df41d6-74a9-4a97-809c-213cd32520cc_Name">
    <vt:lpwstr>GSCEU - NON PUBLIC Label</vt:lpwstr>
  </property>
  <property fmtid="{D5CDD505-2E9C-101B-9397-08002B2CF9AE}" pid="8" name="MSIP_Label_b1df41d6-74a9-4a97-809c-213cd32520cc_SiteId">
    <vt:lpwstr>03ad1c97-0a4d-4e82-8f93-27291a6a0767</vt:lpwstr>
  </property>
  <property fmtid="{D5CDD505-2E9C-101B-9397-08002B2CF9AE}" pid="9" name="MSIP_Label_b1df41d6-74a9-4a97-809c-213cd32520cc_ActionId">
    <vt:lpwstr>e20d397b-2a36-41ad-af76-fd3255bd5af5</vt:lpwstr>
  </property>
  <property fmtid="{D5CDD505-2E9C-101B-9397-08002B2CF9AE}" pid="10" name="MSIP_Label_b1df41d6-74a9-4a97-809c-213cd32520cc_ContentBits">
    <vt:lpwstr>0</vt:lpwstr>
  </property>
</Properties>
</file>